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23" w:rsidRDefault="00797420">
      <w:pPr>
        <w:pStyle w:val="ConsPlusTitle"/>
        <w:widowControl/>
        <w:ind w:left="5670"/>
        <w:rPr>
          <w:rFonts w:ascii="Times New Roman" w:hAnsi="Times New Roman" w:cs="Times New Roman"/>
          <w:b w:val="0"/>
          <w:sz w:val="26"/>
          <w:szCs w:val="26"/>
        </w:rPr>
      </w:pPr>
      <w:r>
        <w:rPr>
          <w:rFonts w:ascii="Times New Roman" w:hAnsi="Times New Roman" w:cs="Times New Roman"/>
          <w:b w:val="0"/>
          <w:sz w:val="26"/>
          <w:szCs w:val="26"/>
        </w:rPr>
        <w:t xml:space="preserve"> Утверждена  </w:t>
      </w:r>
    </w:p>
    <w:p w:rsidR="000F2523" w:rsidRDefault="00797420">
      <w:pPr>
        <w:pStyle w:val="ConsPlusTitle"/>
        <w:widowControl/>
        <w:ind w:left="5670"/>
        <w:rPr>
          <w:rFonts w:ascii="Times New Roman" w:hAnsi="Times New Roman" w:cs="Times New Roman"/>
          <w:b w:val="0"/>
          <w:sz w:val="26"/>
          <w:szCs w:val="26"/>
        </w:rPr>
      </w:pPr>
      <w:r>
        <w:rPr>
          <w:rFonts w:ascii="Times New Roman" w:hAnsi="Times New Roman" w:cs="Times New Roman"/>
          <w:b w:val="0"/>
          <w:sz w:val="26"/>
          <w:szCs w:val="26"/>
        </w:rPr>
        <w:t>решением совета депутатов  муниципального образования   Старопольское сельское поселение Сланцевского муниципального района Ленинградской области</w:t>
      </w:r>
    </w:p>
    <w:p w:rsidR="000F2523" w:rsidRPr="00052645" w:rsidRDefault="00797420">
      <w:pPr>
        <w:ind w:left="5670"/>
      </w:pPr>
      <w:r w:rsidRPr="00052645">
        <w:t xml:space="preserve">от </w:t>
      </w:r>
      <w:r w:rsidR="00052645" w:rsidRPr="00052645">
        <w:t xml:space="preserve">03.02.2014 </w:t>
      </w:r>
      <w:r w:rsidRPr="00052645">
        <w:t>№</w:t>
      </w:r>
      <w:r w:rsidR="00052645" w:rsidRPr="00052645">
        <w:t xml:space="preserve"> 261</w:t>
      </w:r>
    </w:p>
    <w:p w:rsidR="000F2523" w:rsidRDefault="00797420">
      <w:pPr>
        <w:pStyle w:val="ConsPlusTitle"/>
        <w:widowControl/>
        <w:ind w:left="5670"/>
        <w:rPr>
          <w:rFonts w:ascii="Times New Roman" w:hAnsi="Times New Roman" w:cs="Times New Roman"/>
          <w:b w:val="0"/>
          <w:sz w:val="26"/>
          <w:szCs w:val="26"/>
        </w:rPr>
      </w:pPr>
      <w:r>
        <w:rPr>
          <w:rFonts w:ascii="Times New Roman" w:hAnsi="Times New Roman" w:cs="Times New Roman"/>
          <w:b w:val="0"/>
          <w:sz w:val="26"/>
          <w:szCs w:val="26"/>
        </w:rPr>
        <w:t>приложение 1</w:t>
      </w:r>
    </w:p>
    <w:p w:rsidR="000F2523" w:rsidRDefault="000F2523">
      <w:pPr>
        <w:ind w:left="5670"/>
        <w:jc w:val="center"/>
        <w:rPr>
          <w:sz w:val="26"/>
          <w:szCs w:val="26"/>
        </w:rPr>
      </w:pPr>
    </w:p>
    <w:p w:rsidR="000F2523" w:rsidRDefault="00797420">
      <w:pPr>
        <w:jc w:val="center"/>
        <w:rPr>
          <w:b/>
          <w:sz w:val="26"/>
          <w:szCs w:val="26"/>
        </w:rPr>
      </w:pPr>
      <w:r>
        <w:rPr>
          <w:b/>
          <w:sz w:val="26"/>
          <w:szCs w:val="26"/>
        </w:rPr>
        <w:t>Схема многомандатного избирательного округа №1</w:t>
      </w:r>
    </w:p>
    <w:p w:rsidR="000F2523" w:rsidRDefault="00797420">
      <w:pPr>
        <w:jc w:val="center"/>
        <w:rPr>
          <w:b/>
          <w:sz w:val="26"/>
          <w:szCs w:val="26"/>
        </w:rPr>
      </w:pPr>
      <w:r>
        <w:rPr>
          <w:b/>
          <w:sz w:val="26"/>
          <w:szCs w:val="26"/>
        </w:rPr>
        <w:t xml:space="preserve">для проведения выборов депутатов муниципального образования    Старопольское сельское  поселение </w:t>
      </w:r>
    </w:p>
    <w:p w:rsidR="000F2523" w:rsidRDefault="00797420">
      <w:pPr>
        <w:jc w:val="center"/>
        <w:rPr>
          <w:b/>
          <w:sz w:val="26"/>
          <w:szCs w:val="26"/>
        </w:rPr>
      </w:pPr>
      <w:r>
        <w:rPr>
          <w:b/>
          <w:sz w:val="26"/>
          <w:szCs w:val="26"/>
        </w:rPr>
        <w:t>Сланцевского муниципального района Ленинградской области</w:t>
      </w:r>
    </w:p>
    <w:p w:rsidR="000F2523" w:rsidRDefault="000F2523">
      <w:pPr>
        <w:jc w:val="center"/>
        <w:rPr>
          <w:sz w:val="26"/>
          <w:szCs w:val="26"/>
        </w:rPr>
      </w:pPr>
    </w:p>
    <w:p w:rsidR="000F2523" w:rsidRDefault="00797420">
      <w:pPr>
        <w:pStyle w:val="1"/>
        <w:rPr>
          <w:rFonts w:ascii="Times New Roman" w:hAnsi="Times New Roman"/>
          <w:b w:val="0"/>
          <w:sz w:val="26"/>
          <w:szCs w:val="26"/>
        </w:rPr>
      </w:pPr>
      <w:r>
        <w:rPr>
          <w:rFonts w:ascii="Times New Roman" w:hAnsi="Times New Roman"/>
          <w:b w:val="0"/>
          <w:sz w:val="26"/>
          <w:szCs w:val="26"/>
        </w:rPr>
        <w:t>Количество избирателей — 1883</w:t>
      </w:r>
    </w:p>
    <w:p w:rsidR="000F2523" w:rsidRDefault="00797420">
      <w:pPr>
        <w:jc w:val="center"/>
        <w:rPr>
          <w:sz w:val="26"/>
          <w:szCs w:val="26"/>
        </w:rPr>
      </w:pPr>
      <w:r>
        <w:rPr>
          <w:sz w:val="26"/>
          <w:szCs w:val="26"/>
        </w:rPr>
        <w:t>Количество избирательных округов - 1</w:t>
      </w:r>
    </w:p>
    <w:p w:rsidR="000F2523" w:rsidRDefault="00797420">
      <w:pPr>
        <w:pStyle w:val="1"/>
        <w:rPr>
          <w:rFonts w:ascii="Times New Roman" w:hAnsi="Times New Roman"/>
          <w:b w:val="0"/>
          <w:sz w:val="26"/>
          <w:szCs w:val="26"/>
        </w:rPr>
      </w:pPr>
      <w:r>
        <w:rPr>
          <w:rFonts w:ascii="Times New Roman" w:hAnsi="Times New Roman"/>
          <w:b w:val="0"/>
          <w:sz w:val="26"/>
          <w:szCs w:val="26"/>
        </w:rPr>
        <w:t>Количество мандатов – 10</w:t>
      </w:r>
    </w:p>
    <w:p w:rsidR="000F2523" w:rsidRDefault="00797420">
      <w:pPr>
        <w:jc w:val="center"/>
        <w:rPr>
          <w:sz w:val="26"/>
          <w:szCs w:val="26"/>
        </w:rPr>
      </w:pPr>
      <w:r>
        <w:rPr>
          <w:sz w:val="26"/>
          <w:szCs w:val="26"/>
        </w:rPr>
        <w:t>Средняя норма представительства - 188 человек</w:t>
      </w:r>
    </w:p>
    <w:p w:rsidR="000F2523" w:rsidRDefault="000F2523">
      <w:pPr>
        <w:jc w:val="center"/>
        <w:rPr>
          <w:sz w:val="26"/>
          <w:szCs w:val="26"/>
        </w:rPr>
      </w:pPr>
    </w:p>
    <w:p w:rsidR="000F2523" w:rsidRDefault="00797420">
      <w:pPr>
        <w:snapToGrid w:val="0"/>
        <w:jc w:val="both"/>
        <w:rPr>
          <w:b/>
          <w:bCs/>
          <w:sz w:val="26"/>
          <w:szCs w:val="26"/>
        </w:rPr>
      </w:pPr>
      <w:r>
        <w:rPr>
          <w:b/>
          <w:bCs/>
          <w:sz w:val="26"/>
          <w:szCs w:val="26"/>
        </w:rPr>
        <w:t xml:space="preserve">Избирательный округ в границах: </w:t>
      </w:r>
    </w:p>
    <w:p w:rsidR="000F2523" w:rsidRDefault="00797420">
      <w:pPr>
        <w:snapToGrid w:val="0"/>
        <w:jc w:val="both"/>
        <w:rPr>
          <w:rFonts w:eastAsia="Arial" w:cs="Arial"/>
          <w:sz w:val="26"/>
          <w:szCs w:val="26"/>
        </w:rPr>
      </w:pPr>
      <w:r>
        <w:rPr>
          <w:rFonts w:eastAsia="Arial" w:cs="Arial"/>
          <w:sz w:val="26"/>
          <w:szCs w:val="26"/>
        </w:rPr>
        <w:tab/>
        <w:t>По смежеству с Кингисеппским муниципальным районом Ленинградской области. От реки Долгая (восточная граница земель АО "Родина") на восток по границе Сланцевского муниципального района до точки пересечения ее смежной границей Кингисеппского и Волосовского муниципальных районов (река Луга).</w:t>
      </w:r>
    </w:p>
    <w:p w:rsidR="000F2523" w:rsidRDefault="00797420">
      <w:pPr>
        <w:pStyle w:val="ConsPlusDocList"/>
        <w:ind w:firstLine="540"/>
        <w:jc w:val="both"/>
        <w:rPr>
          <w:rFonts w:ascii="Times New Roman" w:hAnsi="Times New Roman"/>
          <w:sz w:val="26"/>
          <w:szCs w:val="26"/>
        </w:rPr>
      </w:pPr>
      <w:r>
        <w:rPr>
          <w:rFonts w:ascii="Times New Roman" w:hAnsi="Times New Roman"/>
          <w:sz w:val="26"/>
          <w:szCs w:val="26"/>
        </w:rPr>
        <w:t>По смежеству с Волосовским муниципальным районом Сланцевского муниципального района Ленинградской области. Далее на юго-восток по границе Сланцевского муниципального района, пересекая реку Саба, до точки пересечения ее смежной границей Волосовского и Лужского муниципальных районов.</w:t>
      </w:r>
    </w:p>
    <w:p w:rsidR="000F2523" w:rsidRDefault="00797420">
      <w:pPr>
        <w:pStyle w:val="ConsPlusDocList"/>
        <w:ind w:firstLine="540"/>
        <w:jc w:val="both"/>
        <w:rPr>
          <w:rFonts w:ascii="Times New Roman" w:hAnsi="Times New Roman"/>
          <w:sz w:val="26"/>
          <w:szCs w:val="26"/>
        </w:rPr>
      </w:pPr>
      <w:r>
        <w:rPr>
          <w:rFonts w:ascii="Times New Roman" w:hAnsi="Times New Roman"/>
          <w:sz w:val="26"/>
          <w:szCs w:val="26"/>
        </w:rPr>
        <w:t>По смежеству с Лужским муниципальным районом Ленинградской области.</w:t>
      </w:r>
    </w:p>
    <w:p w:rsidR="000F2523" w:rsidRDefault="00797420">
      <w:pPr>
        <w:pStyle w:val="ConsPlusDocList"/>
        <w:jc w:val="both"/>
        <w:rPr>
          <w:rFonts w:ascii="Times New Roman" w:hAnsi="Times New Roman"/>
          <w:sz w:val="26"/>
          <w:szCs w:val="26"/>
        </w:rPr>
      </w:pPr>
      <w:r>
        <w:rPr>
          <w:rFonts w:ascii="Times New Roman" w:hAnsi="Times New Roman"/>
          <w:sz w:val="26"/>
          <w:szCs w:val="26"/>
        </w:rPr>
        <w:t>Далее на юго-запад по границе Сланцевского муниципального района до северо-восточной границы квартала 45 Доложского лесничества Сланцевского лесхоза (по смежеству с землями АО "Старопольское").</w:t>
      </w:r>
    </w:p>
    <w:p w:rsidR="000F2523" w:rsidRDefault="00797420">
      <w:pPr>
        <w:pStyle w:val="ConsPlusDocList"/>
        <w:ind w:firstLine="540"/>
        <w:jc w:val="both"/>
        <w:rPr>
          <w:rFonts w:ascii="Times New Roman" w:hAnsi="Times New Roman"/>
          <w:sz w:val="26"/>
          <w:szCs w:val="26"/>
        </w:rPr>
      </w:pPr>
      <w:r>
        <w:rPr>
          <w:rFonts w:ascii="Times New Roman" w:hAnsi="Times New Roman"/>
          <w:sz w:val="26"/>
          <w:szCs w:val="26"/>
        </w:rPr>
        <w:t xml:space="preserve">По смежеству с Новосельским сельским поселением Сланцевского муниципального района Ленинградской области. Далее на северо-запад по северным границам кварталов 45, 44 и 43, на север по восточной границе квартала 41, на северо-запад по северным границам кварталов 41 и 40 Доложского лесничества Сланцевского лесхоза; до смежной границы земель АО "Старопольское" и АО "Аврора"; затем на северо-запад по этой смежной границе до северо-восточной границы квартала 36 этого лесничества; далее на северо-восток по северо-восточной границе квартала 36 до озера Долгое; далее на северо-запад по озеру Долгое (по линии, равноудаленной от берегов) до пересечения его (в западной оконечности) продолжением границы квартала 20 Доложского лесничества Сланцевского лесхоза; далее на юг по восточной, на запад по южной и на север по западной границам квартала 20 Доложского лесничества Сланцевского лесхоза до смежной границы земель АО "Старопольское" и АО "Аврора"; далее на запад по этой смежной границе, пересекая озера Балаболкино и Среднее, до северо-восточной границы квартала 55 Выскатского лесничества Сланцевского лесхоза; </w:t>
      </w:r>
      <w:r>
        <w:rPr>
          <w:rFonts w:ascii="Times New Roman" w:hAnsi="Times New Roman"/>
          <w:sz w:val="26"/>
          <w:szCs w:val="26"/>
        </w:rPr>
        <w:lastRenderedPageBreak/>
        <w:t>далее на северо-запад по северо-восточной границе квартала 55, на северо-запад по восточным границам кварталов 54, 49, 37 и 36 Выскатского лесничества Сланцевского лесхоза до южной границы квартала 29 этого лесничества (западный берег озера Тиганец); далее на северо-восток по южной границе квартала 29 Выскатского лесничества Сланцевского лесхоза до ручья Грязный; далее на северо-запад по этому ручью до смежной границы земель АО "Старопольское" и АО "Родина".</w:t>
      </w:r>
    </w:p>
    <w:p w:rsidR="000F2523" w:rsidRDefault="00797420">
      <w:pPr>
        <w:pStyle w:val="ConsPlusDocList"/>
        <w:ind w:firstLine="540"/>
        <w:jc w:val="both"/>
        <w:rPr>
          <w:rFonts w:ascii="Times New Roman" w:hAnsi="Times New Roman"/>
          <w:sz w:val="26"/>
          <w:szCs w:val="26"/>
        </w:rPr>
      </w:pPr>
      <w:r>
        <w:rPr>
          <w:rFonts w:ascii="Times New Roman" w:hAnsi="Times New Roman"/>
          <w:sz w:val="26"/>
          <w:szCs w:val="26"/>
        </w:rPr>
        <w:t>По смежеству с Выскатским сельским поселением  Сланцевского муниципального района Ленинградской области. Далее на северо-восток по смежной границе земель АО "Старопольское" и АО "Родина", пересекая дорогу Гаянщина - Лосева Гора, до восточной границы квартала 78 Попковогорского лесничества Сланцевского лесхоза; далее на север по восточным границам кварталов 78, 75, 64 и 51, пересекая ручей Лапсинский, до смежной границы земель АО "Старопольское" и АО "Родина"; далее на северо-восток по этой смежной границе до южной границы квартала 43 Попковогорского лесничества Сланцевского лесхоза; далее на восток по южной и на северо-восток по восточной границам квартала 43, на северо-восток по восточным границам кварталов 42, 40 и 34 до границы земель АО "Родина" (граница квартала 25 Попковогорского лесничества Сланцевского лесхоза); далее на восток по границе земель АО "Родина" до реки Долгая; далее на северо-восток по реке Долгая до исходной точки.</w:t>
      </w:r>
    </w:p>
    <w:p w:rsidR="000F2523" w:rsidRDefault="000F2523">
      <w:pPr>
        <w:autoSpaceDE w:val="0"/>
        <w:ind w:firstLine="540"/>
        <w:jc w:val="both"/>
        <w:rPr>
          <w:rFonts w:eastAsia="Arial" w:cs="Arial"/>
          <w:sz w:val="26"/>
          <w:szCs w:val="26"/>
        </w:rPr>
      </w:pPr>
    </w:p>
    <w:p w:rsidR="000F2523" w:rsidRDefault="00797420">
      <w:pPr>
        <w:pStyle w:val="ConsNormal"/>
        <w:widowControl/>
        <w:ind w:firstLine="540"/>
        <w:jc w:val="both"/>
        <w:rPr>
          <w:rFonts w:ascii="Times New Roman" w:hAnsi="Times New Roman"/>
          <w:color w:val="000000"/>
          <w:spacing w:val="-2"/>
          <w:sz w:val="26"/>
          <w:szCs w:val="26"/>
        </w:rPr>
      </w:pPr>
      <w:r>
        <w:rPr>
          <w:rFonts w:ascii="Times New Roman" w:hAnsi="Times New Roman"/>
          <w:b/>
          <w:bCs/>
          <w:sz w:val="26"/>
          <w:szCs w:val="26"/>
        </w:rPr>
        <w:t xml:space="preserve">Избирательный округ включает деревни: </w:t>
      </w:r>
      <w:r>
        <w:rPr>
          <w:rFonts w:ascii="Times New Roman" w:hAnsi="Times New Roman"/>
          <w:color w:val="000000"/>
          <w:spacing w:val="-2"/>
          <w:sz w:val="26"/>
          <w:szCs w:val="26"/>
        </w:rPr>
        <w:t>Бор, Борисова    Гора, Говорово, Деткова Гора, Жаворонок, Зажупапье, Заклепье, Замошье, Заручье, Засосье, Карино, Китково, Кологриво, Куреши, Лосева Гора, Лужки,  Межник, Менюши,  Нарница, Перегреб, Плешево, Растило, Русско, Селково, Соболец,    Сорокино,    Старополье,  Столбово,   Федорово   Поле,   Филево,   Хотило,  Чудская Гора, Шакицы, Буряжки, Велетово, Дретно, Дубо, Дубок, Струитино, Козья Гора, Коленец, Кошелевичи, Лесище, Марино, Морди, Овсище, Пенино, Подлесье, Поречье, Рожновье, Рудница,  Усадище, Данилово, Загорье, Ликовское, Ложголово, поселок Новый.</w:t>
      </w:r>
    </w:p>
    <w:p w:rsidR="000F2523" w:rsidRDefault="000F2523">
      <w:pPr>
        <w:pStyle w:val="ConsNormal"/>
        <w:widowControl/>
        <w:ind w:firstLine="540"/>
        <w:jc w:val="both"/>
        <w:rPr>
          <w:rFonts w:ascii="Times New Roman" w:hAnsi="Times New Roman"/>
          <w:sz w:val="26"/>
          <w:szCs w:val="26"/>
        </w:rPr>
      </w:pPr>
    </w:p>
    <w:p w:rsidR="000F2523" w:rsidRDefault="000F2523">
      <w:pPr>
        <w:rPr>
          <w:sz w:val="26"/>
          <w:szCs w:val="26"/>
        </w:rPr>
      </w:pPr>
    </w:p>
    <w:p w:rsidR="000F2523" w:rsidRDefault="000F2523">
      <w:pPr>
        <w:rPr>
          <w:sz w:val="28"/>
          <w:szCs w:val="28"/>
        </w:rPr>
      </w:pPr>
    </w:p>
    <w:p w:rsidR="000F2523" w:rsidRDefault="000F2523">
      <w:pPr>
        <w:rPr>
          <w:sz w:val="28"/>
          <w:szCs w:val="28"/>
        </w:rPr>
      </w:pPr>
    </w:p>
    <w:p w:rsidR="000F2523" w:rsidRDefault="000F2523">
      <w:pPr>
        <w:rPr>
          <w:sz w:val="28"/>
          <w:szCs w:val="28"/>
        </w:rPr>
      </w:pPr>
    </w:p>
    <w:p w:rsidR="000F2523" w:rsidRDefault="000F2523">
      <w:pPr>
        <w:jc w:val="center"/>
        <w:rPr>
          <w:sz w:val="28"/>
          <w:szCs w:val="28"/>
        </w:rPr>
      </w:pPr>
    </w:p>
    <w:p w:rsidR="000F2523" w:rsidRDefault="000F2523">
      <w:pPr>
        <w:jc w:val="center"/>
      </w:pPr>
    </w:p>
    <w:p w:rsidR="000F2523" w:rsidRDefault="000F2523">
      <w:pPr>
        <w:sectPr w:rsidR="000F2523">
          <w:headerReference w:type="default" r:id="rId7"/>
          <w:footerReference w:type="even" r:id="rId8"/>
          <w:footerReference w:type="default" r:id="rId9"/>
          <w:headerReference w:type="first" r:id="rId10"/>
          <w:footerReference w:type="first" r:id="rId11"/>
          <w:pgSz w:w="11906" w:h="16838"/>
          <w:pgMar w:top="1053" w:right="850" w:bottom="1419" w:left="1701" w:header="777" w:footer="1143" w:gutter="0"/>
          <w:cols w:space="720"/>
          <w:docGrid w:linePitch="360"/>
        </w:sectPr>
      </w:pPr>
    </w:p>
    <w:p w:rsidR="00797420" w:rsidRDefault="00797420">
      <w:pPr>
        <w:ind w:left="9498"/>
        <w:jc w:val="center"/>
      </w:pPr>
    </w:p>
    <w:sectPr w:rsidR="00797420" w:rsidSect="000F2523">
      <w:headerReference w:type="even" r:id="rId12"/>
      <w:headerReference w:type="default" r:id="rId13"/>
      <w:footerReference w:type="even" r:id="rId14"/>
      <w:footerReference w:type="default" r:id="rId15"/>
      <w:headerReference w:type="first" r:id="rId16"/>
      <w:footerReference w:type="first" r:id="rId17"/>
      <w:pgSz w:w="16838" w:h="23811"/>
      <w:pgMar w:top="1134" w:right="851" w:bottom="1134"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4DA" w:rsidRDefault="007414DA">
      <w:r>
        <w:separator/>
      </w:r>
    </w:p>
  </w:endnote>
  <w:endnote w:type="continuationSeparator" w:id="1">
    <w:p w:rsidR="007414DA" w:rsidRDefault="00741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cademy">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4DA" w:rsidRDefault="007414DA">
      <w:r>
        <w:separator/>
      </w:r>
    </w:p>
  </w:footnote>
  <w:footnote w:type="continuationSeparator" w:id="1">
    <w:p w:rsidR="007414DA" w:rsidRDefault="00741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pPr>
      <w:pStyle w:val="ad"/>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37A9"/>
    <w:rsid w:val="00052645"/>
    <w:rsid w:val="000F2523"/>
    <w:rsid w:val="007414DA"/>
    <w:rsid w:val="00797420"/>
    <w:rsid w:val="00E437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23"/>
    <w:pPr>
      <w:suppressAutoHyphens/>
    </w:pPr>
    <w:rPr>
      <w:sz w:val="24"/>
      <w:szCs w:val="24"/>
      <w:lang w:eastAsia="ar-SA"/>
    </w:rPr>
  </w:style>
  <w:style w:type="paragraph" w:styleId="1">
    <w:name w:val="heading 1"/>
    <w:basedOn w:val="a"/>
    <w:next w:val="a"/>
    <w:qFormat/>
    <w:rsid w:val="000F2523"/>
    <w:pPr>
      <w:keepNext/>
      <w:tabs>
        <w:tab w:val="num" w:pos="0"/>
      </w:tabs>
      <w:ind w:left="432" w:hanging="432"/>
      <w:jc w:val="center"/>
      <w:outlineLvl w:val="0"/>
    </w:pPr>
    <w:rPr>
      <w:rFonts w:ascii="Academy" w:hAnsi="Academy"/>
      <w:b/>
      <w:szCs w:val="20"/>
    </w:rPr>
  </w:style>
  <w:style w:type="paragraph" w:styleId="2">
    <w:name w:val="heading 2"/>
    <w:basedOn w:val="a"/>
    <w:next w:val="a"/>
    <w:qFormat/>
    <w:rsid w:val="000F2523"/>
    <w:pPr>
      <w:keepNext/>
      <w:tabs>
        <w:tab w:val="num" w:pos="0"/>
      </w:tabs>
      <w:spacing w:before="240" w:after="60"/>
      <w:ind w:left="576" w:hanging="576"/>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F2523"/>
  </w:style>
  <w:style w:type="character" w:customStyle="1" w:styleId="WW-Absatz-Standardschriftart">
    <w:name w:val="WW-Absatz-Standardschriftart"/>
    <w:rsid w:val="000F2523"/>
  </w:style>
  <w:style w:type="character" w:customStyle="1" w:styleId="WW-Absatz-Standardschriftart1">
    <w:name w:val="WW-Absatz-Standardschriftart1"/>
    <w:rsid w:val="000F2523"/>
  </w:style>
  <w:style w:type="character" w:customStyle="1" w:styleId="WW-Absatz-Standardschriftart11">
    <w:name w:val="WW-Absatz-Standardschriftart11"/>
    <w:rsid w:val="000F2523"/>
  </w:style>
  <w:style w:type="character" w:customStyle="1" w:styleId="WW-Absatz-Standardschriftart111">
    <w:name w:val="WW-Absatz-Standardschriftart111"/>
    <w:rsid w:val="000F2523"/>
  </w:style>
  <w:style w:type="character" w:customStyle="1" w:styleId="WW-Absatz-Standardschriftart1111">
    <w:name w:val="WW-Absatz-Standardschriftart1111"/>
    <w:rsid w:val="000F2523"/>
  </w:style>
  <w:style w:type="character" w:customStyle="1" w:styleId="WW-Absatz-Standardschriftart11111">
    <w:name w:val="WW-Absatz-Standardschriftart11111"/>
    <w:rsid w:val="000F2523"/>
  </w:style>
  <w:style w:type="character" w:customStyle="1" w:styleId="WW-Absatz-Standardschriftart111111">
    <w:name w:val="WW-Absatz-Standardschriftart111111"/>
    <w:rsid w:val="000F2523"/>
  </w:style>
  <w:style w:type="character" w:customStyle="1" w:styleId="WW-Absatz-Standardschriftart1111111">
    <w:name w:val="WW-Absatz-Standardschriftart1111111"/>
    <w:rsid w:val="000F2523"/>
  </w:style>
  <w:style w:type="character" w:customStyle="1" w:styleId="WW-Absatz-Standardschriftart11111111">
    <w:name w:val="WW-Absatz-Standardschriftart11111111"/>
    <w:rsid w:val="000F2523"/>
  </w:style>
  <w:style w:type="character" w:customStyle="1" w:styleId="WW-Absatz-Standardschriftart111111111">
    <w:name w:val="WW-Absatz-Standardschriftart111111111"/>
    <w:rsid w:val="000F2523"/>
  </w:style>
  <w:style w:type="character" w:customStyle="1" w:styleId="10">
    <w:name w:val="Основной шрифт абзаца1"/>
    <w:rsid w:val="000F2523"/>
  </w:style>
  <w:style w:type="character" w:customStyle="1" w:styleId="11">
    <w:name w:val="Заголовок 1 Знак"/>
    <w:rsid w:val="000F2523"/>
    <w:rPr>
      <w:rFonts w:ascii="Academy" w:hAnsi="Academy"/>
      <w:b/>
      <w:sz w:val="24"/>
    </w:rPr>
  </w:style>
  <w:style w:type="character" w:customStyle="1" w:styleId="a3">
    <w:name w:val="Основной текст Знак"/>
    <w:rsid w:val="000F2523"/>
    <w:rPr>
      <w:rFonts w:ascii="Academy" w:hAnsi="Academy"/>
    </w:rPr>
  </w:style>
  <w:style w:type="character" w:customStyle="1" w:styleId="a4">
    <w:name w:val="Название Знак"/>
    <w:rsid w:val="000F2523"/>
    <w:rPr>
      <w:b/>
      <w:bCs/>
      <w:sz w:val="24"/>
      <w:szCs w:val="24"/>
    </w:rPr>
  </w:style>
  <w:style w:type="character" w:customStyle="1" w:styleId="a5">
    <w:name w:val="Верхний колонтитул Знак"/>
    <w:rsid w:val="000F2523"/>
    <w:rPr>
      <w:sz w:val="24"/>
      <w:szCs w:val="24"/>
    </w:rPr>
  </w:style>
  <w:style w:type="character" w:customStyle="1" w:styleId="a6">
    <w:name w:val="Нижний колонтитул Знак"/>
    <w:rsid w:val="000F2523"/>
    <w:rPr>
      <w:sz w:val="24"/>
      <w:szCs w:val="24"/>
    </w:rPr>
  </w:style>
  <w:style w:type="character" w:customStyle="1" w:styleId="a7">
    <w:name w:val="Текст выноски Знак"/>
    <w:rsid w:val="000F2523"/>
    <w:rPr>
      <w:rFonts w:ascii="Tahoma" w:hAnsi="Tahoma" w:cs="Tahoma"/>
      <w:sz w:val="16"/>
      <w:szCs w:val="16"/>
    </w:rPr>
  </w:style>
  <w:style w:type="character" w:customStyle="1" w:styleId="20">
    <w:name w:val="Заголовок 2 Знак"/>
    <w:rsid w:val="000F2523"/>
    <w:rPr>
      <w:rFonts w:ascii="Cambria" w:eastAsia="Times New Roman" w:hAnsi="Cambria" w:cs="Times New Roman"/>
      <w:b/>
      <w:bCs/>
      <w:i/>
      <w:iCs/>
      <w:sz w:val="28"/>
      <w:szCs w:val="28"/>
    </w:rPr>
  </w:style>
  <w:style w:type="paragraph" w:customStyle="1" w:styleId="a8">
    <w:name w:val="Заголовок"/>
    <w:basedOn w:val="a"/>
    <w:next w:val="a9"/>
    <w:rsid w:val="000F2523"/>
    <w:pPr>
      <w:keepNext/>
      <w:spacing w:before="240" w:after="120"/>
    </w:pPr>
    <w:rPr>
      <w:rFonts w:ascii="Arial" w:eastAsia="Lucida Sans Unicode" w:hAnsi="Arial" w:cs="Mangal"/>
      <w:sz w:val="28"/>
      <w:szCs w:val="28"/>
    </w:rPr>
  </w:style>
  <w:style w:type="paragraph" w:styleId="a9">
    <w:name w:val="Body Text"/>
    <w:basedOn w:val="a"/>
    <w:rsid w:val="000F2523"/>
    <w:rPr>
      <w:rFonts w:ascii="Academy" w:hAnsi="Academy"/>
      <w:sz w:val="20"/>
      <w:szCs w:val="20"/>
    </w:rPr>
  </w:style>
  <w:style w:type="paragraph" w:styleId="aa">
    <w:name w:val="List"/>
    <w:basedOn w:val="a9"/>
    <w:rsid w:val="000F2523"/>
    <w:rPr>
      <w:rFonts w:ascii="Arial" w:hAnsi="Arial" w:cs="Mangal"/>
    </w:rPr>
  </w:style>
  <w:style w:type="paragraph" w:customStyle="1" w:styleId="12">
    <w:name w:val="Название1"/>
    <w:basedOn w:val="a"/>
    <w:rsid w:val="000F2523"/>
    <w:pPr>
      <w:suppressLineNumbers/>
      <w:spacing w:before="120" w:after="120"/>
    </w:pPr>
    <w:rPr>
      <w:rFonts w:ascii="Arial" w:hAnsi="Arial" w:cs="Mangal"/>
      <w:i/>
      <w:iCs/>
      <w:sz w:val="20"/>
    </w:rPr>
  </w:style>
  <w:style w:type="paragraph" w:customStyle="1" w:styleId="13">
    <w:name w:val="Указатель1"/>
    <w:basedOn w:val="a"/>
    <w:rsid w:val="000F2523"/>
    <w:pPr>
      <w:suppressLineNumbers/>
    </w:pPr>
    <w:rPr>
      <w:rFonts w:ascii="Arial" w:hAnsi="Arial" w:cs="Mangal"/>
    </w:rPr>
  </w:style>
  <w:style w:type="paragraph" w:customStyle="1" w:styleId="ConsPlusNormal">
    <w:name w:val="ConsPlusNormal"/>
    <w:rsid w:val="000F2523"/>
    <w:pPr>
      <w:widowControl w:val="0"/>
      <w:suppressAutoHyphens/>
      <w:autoSpaceDE w:val="0"/>
      <w:ind w:firstLine="720"/>
    </w:pPr>
    <w:rPr>
      <w:rFonts w:ascii="Arial" w:eastAsia="Arial" w:hAnsi="Arial" w:cs="Arial"/>
      <w:lang w:eastAsia="ar-SA"/>
    </w:rPr>
  </w:style>
  <w:style w:type="paragraph" w:customStyle="1" w:styleId="ConsPlusTitle">
    <w:name w:val="ConsPlusTitle"/>
    <w:rsid w:val="000F2523"/>
    <w:pPr>
      <w:widowControl w:val="0"/>
      <w:suppressAutoHyphens/>
      <w:autoSpaceDE w:val="0"/>
    </w:pPr>
    <w:rPr>
      <w:rFonts w:ascii="Arial" w:eastAsia="Arial" w:hAnsi="Arial" w:cs="Arial"/>
      <w:b/>
      <w:bCs/>
      <w:lang w:eastAsia="ar-SA"/>
    </w:rPr>
  </w:style>
  <w:style w:type="paragraph" w:customStyle="1" w:styleId="14">
    <w:name w:val="Стиль1"/>
    <w:basedOn w:val="a"/>
    <w:rsid w:val="000F2523"/>
    <w:pPr>
      <w:spacing w:line="360" w:lineRule="auto"/>
      <w:ind w:firstLine="709"/>
      <w:jc w:val="both"/>
    </w:pPr>
    <w:rPr>
      <w:color w:val="000000"/>
      <w:spacing w:val="-2"/>
      <w:sz w:val="28"/>
      <w:szCs w:val="28"/>
    </w:rPr>
  </w:style>
  <w:style w:type="paragraph" w:customStyle="1" w:styleId="15">
    <w:name w:val="Схема документа1"/>
    <w:basedOn w:val="a"/>
    <w:rsid w:val="000F2523"/>
    <w:pPr>
      <w:shd w:val="clear" w:color="auto" w:fill="000080"/>
    </w:pPr>
    <w:rPr>
      <w:rFonts w:ascii="Tahoma" w:hAnsi="Tahoma" w:cs="Tahoma"/>
      <w:sz w:val="20"/>
      <w:szCs w:val="20"/>
    </w:rPr>
  </w:style>
  <w:style w:type="paragraph" w:customStyle="1" w:styleId="21">
    <w:name w:val="Стиль2"/>
    <w:basedOn w:val="14"/>
    <w:rsid w:val="000F2523"/>
    <w:pPr>
      <w:spacing w:line="240" w:lineRule="auto"/>
    </w:pPr>
    <w:rPr>
      <w:spacing w:val="0"/>
    </w:rPr>
  </w:style>
  <w:style w:type="paragraph" w:styleId="ab">
    <w:name w:val="Title"/>
    <w:basedOn w:val="a"/>
    <w:next w:val="ac"/>
    <w:qFormat/>
    <w:rsid w:val="000F2523"/>
    <w:pPr>
      <w:jc w:val="center"/>
    </w:pPr>
    <w:rPr>
      <w:b/>
      <w:bCs/>
    </w:rPr>
  </w:style>
  <w:style w:type="paragraph" w:styleId="ac">
    <w:name w:val="Subtitle"/>
    <w:basedOn w:val="a8"/>
    <w:next w:val="a9"/>
    <w:qFormat/>
    <w:rsid w:val="000F2523"/>
    <w:pPr>
      <w:jc w:val="center"/>
    </w:pPr>
    <w:rPr>
      <w:i/>
      <w:iCs/>
    </w:rPr>
  </w:style>
  <w:style w:type="paragraph" w:styleId="ad">
    <w:name w:val="header"/>
    <w:basedOn w:val="a"/>
    <w:rsid w:val="000F2523"/>
    <w:pPr>
      <w:tabs>
        <w:tab w:val="center" w:pos="4677"/>
        <w:tab w:val="right" w:pos="9355"/>
      </w:tabs>
    </w:pPr>
  </w:style>
  <w:style w:type="paragraph" w:styleId="ae">
    <w:name w:val="footer"/>
    <w:basedOn w:val="a"/>
    <w:rsid w:val="000F2523"/>
    <w:pPr>
      <w:tabs>
        <w:tab w:val="center" w:pos="4677"/>
        <w:tab w:val="right" w:pos="9355"/>
      </w:tabs>
    </w:pPr>
  </w:style>
  <w:style w:type="paragraph" w:styleId="af">
    <w:name w:val="Balloon Text"/>
    <w:basedOn w:val="a"/>
    <w:rsid w:val="000F2523"/>
    <w:rPr>
      <w:rFonts w:ascii="Tahoma" w:hAnsi="Tahoma"/>
      <w:sz w:val="16"/>
      <w:szCs w:val="16"/>
    </w:rPr>
  </w:style>
  <w:style w:type="paragraph" w:customStyle="1" w:styleId="af0">
    <w:name w:val="Содержимое таблицы"/>
    <w:basedOn w:val="a"/>
    <w:rsid w:val="000F2523"/>
    <w:pPr>
      <w:suppressLineNumbers/>
    </w:pPr>
  </w:style>
  <w:style w:type="paragraph" w:customStyle="1" w:styleId="af1">
    <w:name w:val="Заголовок таблицы"/>
    <w:basedOn w:val="af0"/>
    <w:rsid w:val="000F2523"/>
    <w:pPr>
      <w:jc w:val="center"/>
    </w:pPr>
    <w:rPr>
      <w:b/>
      <w:bCs/>
    </w:rPr>
  </w:style>
  <w:style w:type="paragraph" w:customStyle="1" w:styleId="ConsNormal">
    <w:name w:val="ConsNormal"/>
    <w:rsid w:val="000F2523"/>
    <w:pPr>
      <w:widowControl w:val="0"/>
      <w:suppressAutoHyphens/>
      <w:ind w:firstLine="720"/>
    </w:pPr>
    <w:rPr>
      <w:rFonts w:ascii="Arial" w:eastAsia="Arial" w:hAnsi="Arial" w:cs="Arial"/>
      <w:lang w:eastAsia="ar-SA"/>
    </w:rPr>
  </w:style>
  <w:style w:type="paragraph" w:customStyle="1" w:styleId="ConsNonformat">
    <w:name w:val="ConsNonformat"/>
    <w:rsid w:val="000F2523"/>
    <w:pPr>
      <w:suppressAutoHyphens/>
      <w:autoSpaceDE w:val="0"/>
      <w:ind w:right="19772"/>
    </w:pPr>
    <w:rPr>
      <w:rFonts w:ascii="Courier New" w:eastAsia="Arial" w:hAnsi="Courier New" w:cs="Courier New"/>
      <w:lang w:eastAsia="ar-SA"/>
    </w:rPr>
  </w:style>
  <w:style w:type="paragraph" w:customStyle="1" w:styleId="ConsPlusDocList">
    <w:name w:val="ConsPlusDocList"/>
    <w:next w:val="a"/>
    <w:rsid w:val="000F2523"/>
    <w:pPr>
      <w:widowControl w:val="0"/>
      <w:suppressAutoHyphens/>
      <w:autoSpaceDE w:val="0"/>
    </w:pPr>
    <w:rPr>
      <w:rFonts w:ascii="Arial" w:eastAsia="Arial" w:hAnsi="Arial" w:cs="Arial"/>
      <w:lang w:eastAsia="hi-IN" w:bidi="hi-IN"/>
    </w:rPr>
  </w:style>
  <w:style w:type="paragraph" w:customStyle="1" w:styleId="ConsPlusCell">
    <w:name w:val="ConsPlusCell"/>
    <w:next w:val="a"/>
    <w:rsid w:val="000F2523"/>
    <w:pPr>
      <w:widowControl w:val="0"/>
      <w:suppressAutoHyphens/>
      <w:autoSpaceDE w:val="0"/>
    </w:pPr>
    <w:rPr>
      <w:rFonts w:ascii="Arial" w:eastAsia="Arial" w:hAnsi="Arial" w:cs="Arial"/>
      <w:lang w:eastAsia="hi-IN" w:bidi="hi-IN"/>
    </w:rPr>
  </w:style>
  <w:style w:type="paragraph" w:customStyle="1" w:styleId="ConsPlusNonformat">
    <w:name w:val="ConsPlusNonformat"/>
    <w:next w:val="a"/>
    <w:rsid w:val="000F2523"/>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rsid w:val="000F2523"/>
    <w:pPr>
      <w:widowControl w:val="0"/>
      <w:suppressAutoHyphens/>
      <w:autoSpaceDE w:val="0"/>
    </w:pPr>
    <w:rPr>
      <w:rFonts w:ascii="Arial" w:eastAsia="Arial" w:hAnsi="Arial" w:cs="Arial"/>
      <w:b/>
      <w:bCs/>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3874</Characters>
  <Application>Microsoft Office Word</Application>
  <DocSecurity>0</DocSecurity>
  <Lines>32</Lines>
  <Paragraphs>9</Paragraphs>
  <ScaleCrop>false</ScaleCrop>
  <Company>Microsoft</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АРХАНГЕЛЬСКАЯ ГОРОДСКАЯ ДУМА</dc:title>
  <dc:subject/>
  <dc:creator>meria</dc:creator>
  <cp:keywords/>
  <cp:lastModifiedBy>Admin</cp:lastModifiedBy>
  <cp:revision>3</cp:revision>
  <cp:lastPrinted>2013-10-03T11:59:00Z</cp:lastPrinted>
  <dcterms:created xsi:type="dcterms:W3CDTF">2014-01-30T12:29:00Z</dcterms:created>
  <dcterms:modified xsi:type="dcterms:W3CDTF">2014-01-30T12:48:00Z</dcterms:modified>
</cp:coreProperties>
</file>