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04" w:rsidRPr="00570E17" w:rsidRDefault="00962604" w:rsidP="009A12F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публичных слушаний</w:t>
      </w:r>
    </w:p>
    <w:p w:rsidR="008A61CB" w:rsidRDefault="0035295F" w:rsidP="009A12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проекту </w:t>
      </w:r>
      <w:r w:rsidR="009A12F9" w:rsidRPr="0099705E">
        <w:rPr>
          <w:rFonts w:ascii="Times New Roman" w:hAnsi="Times New Roman" w:cs="Times New Roman"/>
          <w:b/>
          <w:sz w:val="28"/>
          <w:szCs w:val="28"/>
        </w:rPr>
        <w:t>отчета  об исполнении бюджета муниципального образования Старопольское сельское поселение Сланцевского муниципального района Ленинградской области за  20</w:t>
      </w:r>
      <w:r w:rsidR="009A12F9">
        <w:rPr>
          <w:rFonts w:ascii="Times New Roman" w:hAnsi="Times New Roman" w:cs="Times New Roman"/>
          <w:b/>
          <w:sz w:val="28"/>
          <w:szCs w:val="28"/>
        </w:rPr>
        <w:t>2</w:t>
      </w:r>
      <w:r w:rsidR="006E2FF0">
        <w:rPr>
          <w:rFonts w:ascii="Times New Roman" w:hAnsi="Times New Roman" w:cs="Times New Roman"/>
          <w:b/>
          <w:sz w:val="28"/>
          <w:szCs w:val="28"/>
        </w:rPr>
        <w:t>4</w:t>
      </w:r>
      <w:r w:rsidR="009A12F9" w:rsidRPr="009970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A12F9" w:rsidRPr="00570E17" w:rsidRDefault="009A12F9" w:rsidP="009A12F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604" w:rsidRPr="00570E17" w:rsidRDefault="00DD276F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9A12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B158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12F9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35E8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12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2F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962604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Время проведения: 1</w:t>
      </w:r>
      <w:r w:rsidR="002B15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</w:p>
    <w:p w:rsidR="00962604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Место проведения: </w:t>
      </w:r>
      <w:r w:rsidR="009A12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Старопольского сельского поселения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A12F9">
        <w:rPr>
          <w:rFonts w:ascii="Times New Roman" w:hAnsi="Times New Roman" w:cs="Times New Roman"/>
          <w:color w:val="000000" w:themeColor="text1"/>
          <w:sz w:val="28"/>
          <w:szCs w:val="28"/>
        </w:rPr>
        <w:t>Старополье д.8 Сланцевский район Ленинградская область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C2B8B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Присутствуют</w:t>
      </w:r>
      <w:r w:rsidR="005C2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жители поселения согласно регистрационного листа.</w:t>
      </w:r>
    </w:p>
    <w:p w:rsidR="00962604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на слушаниях присутству</w:t>
      </w:r>
      <w:r w:rsidR="00A01718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A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E616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2F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962604" w:rsidRPr="00570E17" w:rsidRDefault="005C2B8B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Председатель 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публичных слушаниях 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Жук Артем Сергеевич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E6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Старопольского сельского поселения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604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Повестка дня:</w:t>
      </w:r>
    </w:p>
    <w:p w:rsidR="00B00303" w:rsidRDefault="00962604" w:rsidP="00B00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Доклад по проекту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303" w:rsidRPr="00B00303">
        <w:rPr>
          <w:rFonts w:ascii="Times New Roman" w:hAnsi="Times New Roman" w:cs="Times New Roman"/>
          <w:sz w:val="28"/>
          <w:szCs w:val="28"/>
        </w:rPr>
        <w:t>отчета  об исполнении бюджета муниципального образования Старопольское сельское поселение Сланцевского муниципального района Ленинградской области за  202</w:t>
      </w:r>
      <w:r w:rsidR="002B1589">
        <w:rPr>
          <w:rFonts w:ascii="Times New Roman" w:hAnsi="Times New Roman" w:cs="Times New Roman"/>
          <w:sz w:val="28"/>
          <w:szCs w:val="28"/>
        </w:rPr>
        <w:t>3</w:t>
      </w:r>
      <w:r w:rsidR="00B00303" w:rsidRPr="00B0030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0303" w:rsidRDefault="00B00303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604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Докладчик: </w:t>
      </w:r>
      <w:r w:rsidR="00B93BE3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инеева Алина Валерьевна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 w:rsidR="00A85A37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 администрации Старопольского сельского поселения.</w:t>
      </w:r>
    </w:p>
    <w:p w:rsidR="0035295F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62604" w:rsidRPr="00570E17" w:rsidRDefault="0035295F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Публичные слушания открыл председатель 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А.С.Жук.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0303" w:rsidRDefault="00962604" w:rsidP="00B00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</w:t>
      </w:r>
      <w:r w:rsidR="00B00303" w:rsidRPr="00B00303">
        <w:rPr>
          <w:rFonts w:ascii="Times New Roman" w:hAnsi="Times New Roman" w:cs="Times New Roman"/>
          <w:sz w:val="28"/>
          <w:szCs w:val="28"/>
        </w:rPr>
        <w:t>отчета  об исполнении бюджета муниципального образования Старопольское сельское поселение Сланцевского муниципального района Ленинградской области за  202</w:t>
      </w:r>
      <w:r w:rsidR="006E2FF0">
        <w:rPr>
          <w:rFonts w:ascii="Times New Roman" w:hAnsi="Times New Roman" w:cs="Times New Roman"/>
          <w:sz w:val="28"/>
          <w:szCs w:val="28"/>
        </w:rPr>
        <w:t>4</w:t>
      </w:r>
      <w:r w:rsidR="00B00303" w:rsidRPr="00B0030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2604" w:rsidRPr="00570E17" w:rsidRDefault="00962604" w:rsidP="00B0030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в соответствии с 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2FF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74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E2F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74F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2F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7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E2FF0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-сд</w:t>
      </w:r>
      <w:r w:rsidRPr="00B74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604" w:rsidRPr="00570E17" w:rsidRDefault="00962604" w:rsidP="006E38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проект  </w:t>
      </w:r>
      <w:r w:rsidR="001E33A5" w:rsidRPr="00B00303">
        <w:rPr>
          <w:rFonts w:ascii="Times New Roman" w:hAnsi="Times New Roman" w:cs="Times New Roman"/>
          <w:sz w:val="28"/>
          <w:szCs w:val="28"/>
        </w:rPr>
        <w:t>отчета  об исполнении бюджета муниципального образования Старопольское сельское поселение Сланцевского муниципального района Ленинградской области за  202</w:t>
      </w:r>
      <w:r w:rsidR="006E2FF0">
        <w:rPr>
          <w:rFonts w:ascii="Times New Roman" w:hAnsi="Times New Roman" w:cs="Times New Roman"/>
          <w:sz w:val="28"/>
          <w:szCs w:val="28"/>
        </w:rPr>
        <w:t>4</w:t>
      </w:r>
      <w:r w:rsidR="001E33A5" w:rsidRPr="00B00303">
        <w:rPr>
          <w:rFonts w:ascii="Times New Roman" w:hAnsi="Times New Roman" w:cs="Times New Roman"/>
          <w:sz w:val="28"/>
          <w:szCs w:val="28"/>
        </w:rPr>
        <w:t xml:space="preserve"> год</w:t>
      </w:r>
      <w:r w:rsidR="001E33A5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опубликованы в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к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газете «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Знамя труда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58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689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689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 размещены на официальном сайте администрации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Старопольского сельского поселения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«Интернет».</w:t>
      </w:r>
    </w:p>
    <w:p w:rsidR="00962604" w:rsidRPr="00570E17" w:rsidRDefault="00962604" w:rsidP="006E38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предложения   и   замечания   по   проекту </w:t>
      </w:r>
      <w:r w:rsidR="001E33A5" w:rsidRPr="00B00303">
        <w:rPr>
          <w:rFonts w:ascii="Times New Roman" w:hAnsi="Times New Roman" w:cs="Times New Roman"/>
          <w:sz w:val="28"/>
          <w:szCs w:val="28"/>
        </w:rPr>
        <w:t>отчета  об исполнении бюджета муниципального образования Старопольское сельское поселение Сланцевского муниципального района Ленинградской области за  202</w:t>
      </w:r>
      <w:r w:rsidR="00E56890">
        <w:rPr>
          <w:rFonts w:ascii="Times New Roman" w:hAnsi="Times New Roman" w:cs="Times New Roman"/>
          <w:sz w:val="28"/>
          <w:szCs w:val="28"/>
        </w:rPr>
        <w:t>4</w:t>
      </w:r>
      <w:r w:rsidR="001E33A5" w:rsidRPr="00B0030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58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поступали.</w:t>
      </w:r>
    </w:p>
    <w:p w:rsidR="00962604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604" w:rsidRPr="00570E17" w:rsidRDefault="0035295F" w:rsidP="006E38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2.Выступающие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2604" w:rsidRDefault="0035295F" w:rsidP="006E38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докладом по проекту  </w:t>
      </w:r>
      <w:r w:rsidR="001E33A5" w:rsidRPr="00B00303">
        <w:rPr>
          <w:rFonts w:ascii="Times New Roman" w:hAnsi="Times New Roman" w:cs="Times New Roman"/>
          <w:sz w:val="28"/>
          <w:szCs w:val="28"/>
        </w:rPr>
        <w:t>отчета  об исполнении бюджета муниципального образования Старопольское сельское поселение Сланцевского муниципального района Ленинградской области за  202</w:t>
      </w:r>
      <w:r w:rsidR="00E56890">
        <w:rPr>
          <w:rFonts w:ascii="Times New Roman" w:hAnsi="Times New Roman" w:cs="Times New Roman"/>
          <w:sz w:val="28"/>
          <w:szCs w:val="28"/>
        </w:rPr>
        <w:t>4</w:t>
      </w:r>
      <w:r w:rsidR="001E33A5" w:rsidRPr="00B00303">
        <w:rPr>
          <w:rFonts w:ascii="Times New Roman" w:hAnsi="Times New Roman" w:cs="Times New Roman"/>
          <w:sz w:val="28"/>
          <w:szCs w:val="28"/>
        </w:rPr>
        <w:t xml:space="preserve"> год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выступила </w:t>
      </w:r>
      <w:r w:rsidR="001920B5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инеева А.В.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 w:rsidR="002B1589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 администрации</w:t>
      </w:r>
      <w:r w:rsidR="00BF0D2A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Доходы бюджета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Старопольского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сельского поселения за 2024 год составили 46 640,6 тыс. руб. или 101,2 %. К аналогичному периоду 2023 года поступления увеличились на 6 048,6 тыс. руб. или на 14,9 % (Приложение 1).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 xml:space="preserve">Безвозмездные поступления </w:t>
      </w:r>
      <w:r w:rsidRPr="00961BAC">
        <w:rPr>
          <w:rFonts w:ascii="Times New Roman" w:hAnsi="Times New Roman" w:cs="Times New Roman"/>
          <w:sz w:val="20"/>
          <w:szCs w:val="20"/>
        </w:rPr>
        <w:t xml:space="preserve">составили  64,2 % от общих доходов бюджета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Старопольского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сельского поселения. В 2024 году </w:t>
      </w:r>
      <w:r w:rsidRPr="00961BAC">
        <w:rPr>
          <w:rFonts w:ascii="Times New Roman" w:hAnsi="Times New Roman" w:cs="Times New Roman"/>
          <w:b/>
          <w:sz w:val="20"/>
          <w:szCs w:val="20"/>
        </w:rPr>
        <w:t xml:space="preserve">безвозмездные поступления </w:t>
      </w:r>
      <w:r w:rsidRPr="00961BAC">
        <w:rPr>
          <w:rFonts w:ascii="Times New Roman" w:hAnsi="Times New Roman" w:cs="Times New Roman"/>
          <w:sz w:val="20"/>
          <w:szCs w:val="20"/>
        </w:rPr>
        <w:t xml:space="preserve">зачислены в бюджет в сумме 29 922,4  тыс. руб. или 100,0 % к плану. К аналогичному периоду прошлого года поступления выросли на 5 967,6 тыс. руб. или на 24,9 %.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Дотации поступили в бюджет поселения сумме 12 904,2 тыс. руб. или 100,0 % к плану 2024 года. Субсидии зачислены  в сумме 9 635,7 тыс. руб. или 100,0 %. Субвенции зачислены в сумме 186,5 тыс. руб. или 100,0 % к плану. Иные межбюджетные трансферты поступили в сумме 7 196,0 тыс. руб. или 100,0 % к плану 2024 года.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Налоговые и неналоговые доходы</w:t>
      </w:r>
      <w:r w:rsidRPr="00961BAC">
        <w:rPr>
          <w:rFonts w:ascii="Times New Roman" w:hAnsi="Times New Roman" w:cs="Times New Roman"/>
          <w:sz w:val="20"/>
          <w:szCs w:val="20"/>
        </w:rPr>
        <w:t xml:space="preserve"> составили  35,8 % доходной части бюджета. При плане 2024 года 16 180,7 тыс. руб. поступило 16 718,2 тыс. руб. или 103,3 %. В структуре таких  доходов налоговые доходы составляют 82,9 %, неналоговые – 17,1 %. К аналогичному периоду 2023 года темп роста поступлений составил 100,5 %.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Основными доходными источниками бюджета </w:t>
      </w:r>
      <w:r w:rsidRPr="00961BA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Старопольского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сельского поселения за 2024 год явились следующие доходы (доля налога, сбора в общей сумме доходов без учета безвозмездных поступлений):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налог на доходы физических лиц                         -       43,2 %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доходы от уплаты акцизов на  нефтепродукты   -       24,3 %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земельный налог                                                     -       13,6 %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Налог на доходы физических лиц</w:t>
      </w:r>
      <w:r w:rsidRPr="00961BAC">
        <w:rPr>
          <w:rFonts w:ascii="Times New Roman" w:hAnsi="Times New Roman" w:cs="Times New Roman"/>
          <w:sz w:val="20"/>
          <w:szCs w:val="20"/>
        </w:rPr>
        <w:t xml:space="preserve"> поступил в сумме 7 223,5 тыс. руб. или 98,2 % к плану 2024 года. К аналогичному периоду прошлого года поступления уменьшились на 1 163,3 тыс. руб. или на 13,9 %.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1BAC">
        <w:rPr>
          <w:rFonts w:ascii="Times New Roman" w:hAnsi="Times New Roman" w:cs="Times New Roman"/>
          <w:b/>
          <w:sz w:val="20"/>
          <w:szCs w:val="20"/>
        </w:rPr>
        <w:t>Доходы от уплаты акцизов на нефтепродукты</w:t>
      </w:r>
      <w:r w:rsidRPr="00961BAC">
        <w:rPr>
          <w:rFonts w:ascii="Times New Roman" w:hAnsi="Times New Roman" w:cs="Times New Roman"/>
          <w:sz w:val="20"/>
          <w:szCs w:val="20"/>
        </w:rPr>
        <w:t xml:space="preserve"> при плане 2024 года 3 526,8 тыс. руб. поступили в сумме 4 064,8 тыс. руб. или 115,3 %. Объем поступлений акцизов на нефтепродукты зависит от объемов реализации нефтепродуктов всеми производителями на территории Российской Федерации, а также от норматива отчислений, установленного законом о федеральном бюджете на очередной финансовый год.</w:t>
      </w:r>
      <w:proofErr w:type="gramEnd"/>
      <w:r w:rsidRPr="00961BAC">
        <w:rPr>
          <w:rFonts w:ascii="Times New Roman" w:hAnsi="Times New Roman" w:cs="Times New Roman"/>
          <w:sz w:val="20"/>
          <w:szCs w:val="20"/>
        </w:rPr>
        <w:t xml:space="preserve"> К аналогичному периоду 2023 года темп роста составил 108,5 %.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Единый сельскохозяйственный налог</w:t>
      </w:r>
      <w:r w:rsidRPr="00961BAC">
        <w:rPr>
          <w:rFonts w:ascii="Times New Roman" w:hAnsi="Times New Roman" w:cs="Times New Roman"/>
          <w:sz w:val="20"/>
          <w:szCs w:val="20"/>
        </w:rPr>
        <w:t xml:space="preserve"> поступил в бюджет в сумме 27,6 тыс. руб. или 100,0 % к плану 2024 года. К аналогичному периоду 2023 года поступления выросли в 7,3 раза. Норматив отчислений единого сельскохозяйственного налог в бюджеты поселений 50,0 %.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По </w:t>
      </w:r>
      <w:r w:rsidRPr="00961BAC">
        <w:rPr>
          <w:rFonts w:ascii="Times New Roman" w:hAnsi="Times New Roman" w:cs="Times New Roman"/>
          <w:b/>
          <w:sz w:val="20"/>
          <w:szCs w:val="20"/>
        </w:rPr>
        <w:t>налогу на имущество физических лиц</w:t>
      </w:r>
      <w:r w:rsidRPr="00961BAC">
        <w:rPr>
          <w:rFonts w:ascii="Times New Roman" w:hAnsi="Times New Roman" w:cs="Times New Roman"/>
          <w:sz w:val="20"/>
          <w:szCs w:val="20"/>
        </w:rPr>
        <w:t xml:space="preserve"> поступления составили 261,4 тыс. руб. или 86,3  % к  плану 2024 года. К аналогичному периоду прошлого года темп роста поступлений составил 96,3 %.</w:t>
      </w:r>
      <w:r w:rsidRPr="00961BA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Земельного налога</w:t>
      </w:r>
      <w:r w:rsidRPr="00961BAC">
        <w:rPr>
          <w:rFonts w:ascii="Times New Roman" w:hAnsi="Times New Roman" w:cs="Times New Roman"/>
          <w:sz w:val="20"/>
          <w:szCs w:val="20"/>
        </w:rPr>
        <w:t xml:space="preserve"> в бюджет поселения поступило 2 277,0 тыс. руб. или 105,7 % к плану 2024 года. К аналогичному периоду прошлого года поступления выросли на 535,2 тыс. руб. или на 30,7 %. 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Госпошлина</w:t>
      </w:r>
      <w:r w:rsidRPr="00961BAC">
        <w:rPr>
          <w:rFonts w:ascii="Times New Roman" w:hAnsi="Times New Roman" w:cs="Times New Roman"/>
          <w:sz w:val="20"/>
          <w:szCs w:val="20"/>
        </w:rPr>
        <w:t xml:space="preserve"> в бюджет поселения поступила в сумме 1,6 тыс. руб. или 100,0 % к плану 2024 года. К аналогичному периоду 2023 года темп роста поступлений составил 100,0 %.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Поступления </w:t>
      </w:r>
      <w:r w:rsidRPr="00961BAC">
        <w:rPr>
          <w:rFonts w:ascii="Times New Roman" w:hAnsi="Times New Roman" w:cs="Times New Roman"/>
          <w:b/>
          <w:sz w:val="20"/>
          <w:szCs w:val="20"/>
        </w:rPr>
        <w:t>доходов от сдачи в аренду имущества</w:t>
      </w:r>
      <w:r w:rsidRPr="00961BAC">
        <w:rPr>
          <w:rFonts w:ascii="Times New Roman" w:hAnsi="Times New Roman" w:cs="Times New Roman"/>
          <w:sz w:val="20"/>
          <w:szCs w:val="20"/>
        </w:rPr>
        <w:t xml:space="preserve"> составили 531,9 тыс. руб. или 109,2 % к плану 2024 года. К аналогичному периоду 2023 года поступления выросли на 38,0 %, что связано с заключением в 2024 году новых договоров аренды.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Прочие поступления от использования имущества</w:t>
      </w:r>
      <w:r w:rsidRPr="00961BAC">
        <w:rPr>
          <w:rFonts w:ascii="Times New Roman" w:hAnsi="Times New Roman" w:cs="Times New Roman"/>
          <w:sz w:val="20"/>
          <w:szCs w:val="20"/>
        </w:rPr>
        <w:t xml:space="preserve"> (плата за наем жилых помещений) поступили в бюджет в сумме 584,4 тыс. руб. или 107,9 % к плану 2024 года. К аналогичному периоду поступления увеличились на 38,5 %, что связано с поступлением задолженности по плате за наем.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 xml:space="preserve">            Прочие доходы от оказания платных услуг и компенсации затрат государства</w:t>
      </w:r>
      <w:r w:rsidRPr="00961BAC">
        <w:rPr>
          <w:rFonts w:ascii="Times New Roman" w:hAnsi="Times New Roman" w:cs="Times New Roman"/>
          <w:sz w:val="20"/>
          <w:szCs w:val="20"/>
        </w:rPr>
        <w:t xml:space="preserve"> поступили в сумме 1 154,4 тыс. руб. или 97,1 % к плану 2024 года. В отчетном периоде поступили доходы от компенсации затрат (возмещение собственником понесенных администрацией затрат за ремонт силовых и осветительных сетей в подъезде жилого дома, а так же оплата восстановительной стоимости зеленых насаждений). К аналогичному периоду прошлого года поступления увеличились на 1 079,1 тыс. руб.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Доходы от реализации имущества</w:t>
      </w:r>
      <w:r w:rsidRPr="00961BAC">
        <w:rPr>
          <w:rFonts w:ascii="Times New Roman" w:hAnsi="Times New Roman" w:cs="Times New Roman"/>
          <w:sz w:val="20"/>
          <w:szCs w:val="20"/>
        </w:rPr>
        <w:t xml:space="preserve"> поступили в сумме 431,0 тыс. руб. или 100,0 % к плану 2024 года (поступили средства от реализации 1/ 2 доли дома, а так же нежилого здания)</w:t>
      </w:r>
      <w:r w:rsidRPr="00961BAC">
        <w:rPr>
          <w:rFonts w:ascii="Times New Roman" w:hAnsi="Times New Roman" w:cs="Times New Roman"/>
          <w:b/>
          <w:sz w:val="20"/>
          <w:szCs w:val="20"/>
        </w:rPr>
        <w:t>.</w:t>
      </w:r>
      <w:r w:rsidRPr="00961BAC">
        <w:rPr>
          <w:rFonts w:ascii="Times New Roman" w:hAnsi="Times New Roman" w:cs="Times New Roman"/>
          <w:sz w:val="20"/>
          <w:szCs w:val="20"/>
        </w:rPr>
        <w:t xml:space="preserve"> К аналогичному периоду 2023 года темп роста поступлений составил 93,1 %.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 xml:space="preserve">Доходы от продажи земельных участков </w:t>
      </w:r>
      <w:r w:rsidRPr="00961BAC">
        <w:rPr>
          <w:rFonts w:ascii="Times New Roman" w:hAnsi="Times New Roman" w:cs="Times New Roman"/>
          <w:sz w:val="20"/>
          <w:szCs w:val="20"/>
        </w:rPr>
        <w:t xml:space="preserve">зачислены в бюджет в сумме 152,5 тыс. руб. или 100,0 % к плану 2024 года. В отчетном периоде поступили средства от продажи земельного участка, находящегося в собственности поселения (под нежилым зданием).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 xml:space="preserve"> Штрафы, санкции, возмещение ущерба</w:t>
      </w:r>
      <w:r w:rsidRPr="00961BAC">
        <w:rPr>
          <w:rFonts w:ascii="Times New Roman" w:hAnsi="Times New Roman" w:cs="Times New Roman"/>
          <w:sz w:val="20"/>
          <w:szCs w:val="20"/>
        </w:rPr>
        <w:t xml:space="preserve"> поступили в бюджет в сумме 8,0 тыс. руб. или 100,0 % к плану 2024 года (административные штрафы,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администрируемые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администрацией района). К аналогичному периоду 2023 года темп роста поступлений составил 100,0 %.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61BAC" w:rsidRDefault="00961BAC" w:rsidP="00961BAC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61BAC" w:rsidRDefault="00961BAC" w:rsidP="00961BAC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61BAC">
        <w:rPr>
          <w:rFonts w:ascii="Times New Roman" w:hAnsi="Times New Roman" w:cs="Times New Roman"/>
          <w:b/>
          <w:i/>
          <w:sz w:val="20"/>
          <w:szCs w:val="20"/>
        </w:rPr>
        <w:lastRenderedPageBreak/>
        <w:t>РАСХОДЫ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Расходная часть бюджета за 2024 год выполнена на 99,6 % (при плане 48 192,3 тыс. руб. кассовые расходы составили 48 004,1 тыс. руб., неисполнение 188,2 тыс. руб.). В сравнении с аналогичным периодом прошлого года исполнение составило 109,8 % (приложения 2,3).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Расходы по функциональной классификации представлены в приложении 2.                                   Из общей суммы расходов бюджета  наибольшую долю составляют расходы по </w:t>
      </w:r>
      <w:r w:rsidRPr="00961BAC">
        <w:rPr>
          <w:rFonts w:ascii="Times New Roman" w:hAnsi="Times New Roman" w:cs="Times New Roman"/>
          <w:b/>
          <w:sz w:val="20"/>
          <w:szCs w:val="20"/>
        </w:rPr>
        <w:t>отрасли</w:t>
      </w:r>
      <w:r w:rsidRPr="00961BAC">
        <w:rPr>
          <w:rFonts w:ascii="Times New Roman" w:hAnsi="Times New Roman" w:cs="Times New Roman"/>
          <w:sz w:val="20"/>
          <w:szCs w:val="20"/>
        </w:rPr>
        <w:t xml:space="preserve"> </w:t>
      </w:r>
      <w:r w:rsidRPr="00961BAC">
        <w:rPr>
          <w:rFonts w:ascii="Times New Roman" w:hAnsi="Times New Roman" w:cs="Times New Roman"/>
          <w:b/>
          <w:sz w:val="20"/>
          <w:szCs w:val="20"/>
        </w:rPr>
        <w:t xml:space="preserve">«Культура» </w:t>
      </w:r>
      <w:r w:rsidRPr="00961BAC">
        <w:rPr>
          <w:rFonts w:ascii="Times New Roman" w:hAnsi="Times New Roman" w:cs="Times New Roman"/>
          <w:sz w:val="20"/>
          <w:szCs w:val="20"/>
        </w:rPr>
        <w:t>- 31,5 %.</w:t>
      </w:r>
      <w:r w:rsidRPr="00961B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1BAC">
        <w:rPr>
          <w:rFonts w:ascii="Times New Roman" w:hAnsi="Times New Roman" w:cs="Times New Roman"/>
          <w:sz w:val="20"/>
          <w:szCs w:val="20"/>
        </w:rPr>
        <w:t xml:space="preserve">При плане 15 115,8 тыс. руб. кассовые расходы составили 15 115,7 тыс. руб. или 100,0 % к плану, в том числе: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содержание Дома культуры – 13 786,8 тыс. руб., из них за счет средств областного бюджета – 2 916,3 тыс. руб., за счет средств бюджета района – 2 305,9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(межбюджетные трансферты бюджету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муниципального района) – 1 219,9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  мероприятия по укреплению пожарной безопасности – 28,8 тыс. руб.,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организация и проведение культурно-массовых мероприятий – 27,7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прочие мероприятия (выполнение  работ по оформлению  межевых планов на следующие земельные участки под памятниками культурного наследия  «Братское захоронение советских воинов, погибших в бою 14.07.1941г.» в д. Лосева Гора) – 52,5 тыс. руб.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Расходы по </w:t>
      </w:r>
      <w:r w:rsidRPr="00961BAC">
        <w:rPr>
          <w:rFonts w:ascii="Times New Roman" w:hAnsi="Times New Roman" w:cs="Times New Roman"/>
          <w:b/>
          <w:sz w:val="20"/>
          <w:szCs w:val="20"/>
        </w:rPr>
        <w:t xml:space="preserve">отрасли «Общегосударственные вопросы» </w:t>
      </w:r>
      <w:r w:rsidRPr="00961BAC">
        <w:rPr>
          <w:rFonts w:ascii="Times New Roman" w:hAnsi="Times New Roman" w:cs="Times New Roman"/>
          <w:sz w:val="20"/>
          <w:szCs w:val="20"/>
        </w:rPr>
        <w:t>составили 26,5 % от общего объема расходов. При плане 12 771,2 тыс. руб. кассовые расходы составили 12 700,6 тыс. руб. или 99,4 % к плану, в том числе: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содержание представительных органов местного самоуправления – 157,8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содержание исполнительных органов местного самоуправления -</w:t>
      </w:r>
      <w:r w:rsidRPr="00961BAC">
        <w:rPr>
          <w:rFonts w:ascii="Times New Roman" w:hAnsi="Times New Roman" w:cs="Times New Roman"/>
          <w:sz w:val="20"/>
          <w:szCs w:val="20"/>
        </w:rPr>
        <w:tab/>
        <w:t>10 815,3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поощрение муниципальных управленческих команд за достижение показателей деятельности ОМСУ (средства областного бюджета) – 66,9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поощрение муниципальных управленческих команд за достижение наилучших значений показателей эффективности органов местного самоуправления (средства бюджета района) – 81,0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начисления на оплату труда работникам органов местного самоуправления при поощрении муниципальных управленческих команд за достижение показателей эффективности деятельности органов местного самоуправления (средства бюджета района) – 20,2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проведение выборов в совет депутатов муниципального образования – 561,1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осуществление отдельного государственного полномочия Ленинградской области в сфере административных правоотношений – 3,5 тыс. руб. (средства областного бюджета);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 составление проекта бюджета, исполнение бюджета, осуществление </w:t>
      </w:r>
      <w:proofErr w:type="gramStart"/>
      <w:r w:rsidRPr="00961BAC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961BAC">
        <w:rPr>
          <w:rFonts w:ascii="Times New Roman" w:hAnsi="Times New Roman" w:cs="Times New Roman"/>
          <w:sz w:val="20"/>
          <w:szCs w:val="20"/>
        </w:rPr>
        <w:t xml:space="preserve"> его исполнением, составление отчета об исполнении бюджета поселения (межбюджетные трансферты бюджету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муниципального района) – 587,5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содержание и обслуживание объектов муниципального имущества – 210,0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управление муниципальным имуществом – 61,3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мероприятия по укреплению пожарной безопасности – 9,6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разработка муниципальной программы энергосбережения – 18,0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осуществление внешнего муниципального финансового контроля (межбюджетные трансферты бюджету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муниципального района) – 33,3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внутренний муниципальный финансовый контроль (межбюджетные трансферты бюджету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муниципального района) – 10,0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контроль в сфере жилищного хозяйства (межбюджетные трансферты бюджету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муниципального района) – 43,1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проведение мероприятий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общемуниципального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характера – 22,0 тыс. руб.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19,0 % от общего объема расходов бюджета за 2024 год занимает </w:t>
      </w:r>
      <w:r w:rsidRPr="00961BAC">
        <w:rPr>
          <w:rFonts w:ascii="Times New Roman" w:hAnsi="Times New Roman" w:cs="Times New Roman"/>
          <w:b/>
          <w:sz w:val="20"/>
          <w:szCs w:val="20"/>
        </w:rPr>
        <w:t>отрасль</w:t>
      </w:r>
      <w:r w:rsidRPr="00961BAC">
        <w:rPr>
          <w:rFonts w:ascii="Times New Roman" w:hAnsi="Times New Roman" w:cs="Times New Roman"/>
          <w:sz w:val="20"/>
          <w:szCs w:val="20"/>
        </w:rPr>
        <w:t xml:space="preserve"> </w:t>
      </w:r>
      <w:r w:rsidRPr="00961BAC">
        <w:rPr>
          <w:rFonts w:ascii="Times New Roman" w:hAnsi="Times New Roman" w:cs="Times New Roman"/>
          <w:b/>
          <w:sz w:val="20"/>
          <w:szCs w:val="20"/>
        </w:rPr>
        <w:t>«Жилищно-коммунальное хозяйство»</w:t>
      </w:r>
      <w:r w:rsidRPr="00961BAC">
        <w:rPr>
          <w:rFonts w:ascii="Times New Roman" w:hAnsi="Times New Roman" w:cs="Times New Roman"/>
          <w:sz w:val="20"/>
          <w:szCs w:val="20"/>
        </w:rPr>
        <w:t xml:space="preserve"> или 9 134,2 тыс. руб., что связано с исполнением ряда полномочий в сфере ЖКХ. По мероприятиям указанные расходы представлены следующим образом: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1BAC">
        <w:rPr>
          <w:rFonts w:ascii="Times New Roman" w:hAnsi="Times New Roman" w:cs="Times New Roman"/>
          <w:b/>
          <w:sz w:val="20"/>
          <w:szCs w:val="20"/>
          <w:u w:val="single"/>
        </w:rPr>
        <w:t>мероприятия в сфере жилищного хозяйства – 677,3 тыс. руб.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 – 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 – 613,8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– управление муниципальным имуществом (услуги по начислению, обработке и учету платы за наем жилых помещений) – 14,8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– переселение граждан из аварийного жилищного фонда (выкуп долей, сопутствующие расходы) – 31,0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– прочие мероприятия в области жилищного хозяйства (услуги нотариуса) – 17,7 тыс. руб.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1BAC">
        <w:rPr>
          <w:rFonts w:ascii="Times New Roman" w:hAnsi="Times New Roman" w:cs="Times New Roman"/>
          <w:b/>
          <w:sz w:val="20"/>
          <w:szCs w:val="20"/>
          <w:u w:val="single"/>
        </w:rPr>
        <w:t>мероприятия в сфере коммунального хозяйства – 15,0 тыс. руб.: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– ремонт объектов муниципального имущества – 15,0 тыс. руб.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  <w:u w:val="single"/>
        </w:rPr>
        <w:t>мероприятия в сфере благоустройства –  8 441,9 тыс. руб.: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1BAC">
        <w:rPr>
          <w:rFonts w:ascii="Times New Roman" w:hAnsi="Times New Roman" w:cs="Times New Roman"/>
          <w:sz w:val="20"/>
          <w:szCs w:val="20"/>
        </w:rPr>
        <w:t>– ремонт и содержание уличного освещения – 1 913,3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lastRenderedPageBreak/>
        <w:t xml:space="preserve">– организация ритуальных услуг в части создания специализированной службы по вопросам похоронного дела (межбюджетные трансферты бюджету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муниципального района) – 5,0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– содержание и уборка кладбищ и захоронений – 62,1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– реализация комплекса мероприятий по борьбе с борщевиком Сосновского на территориях муниципальных образований Ленинградской области – 658,6 тыс. руб., из них за счет средств областного бюджета – 573,0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– создание мест (площадок) накопления твердых коммунальных отходов – 2 152,4 тыс. руб., из них за счет средств областного бюджета – 1 872,6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1BAC">
        <w:rPr>
          <w:rFonts w:ascii="Times New Roman" w:hAnsi="Times New Roman" w:cs="Times New Roman"/>
          <w:sz w:val="20"/>
          <w:szCs w:val="20"/>
        </w:rPr>
        <w:t xml:space="preserve">– прочие мероприятия в области благоустройства (работы по уборке территории в д.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Овсище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и д. Старополье, работы по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обкосу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территории мест общего пользования населенных пунктов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Старопольского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СП, проведение комплекса услуг по оценке эффективности проведенных химических мероприятий по уничтожению борщевика, приобретение контейнеров накопления ТКО, создание мест (площадок) накопления ТКО, благоустройство парка семейного отдыха (2 этап) в дер.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Овсище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>, приобретение детского спортивного комплекса</w:t>
      </w:r>
      <w:proofErr w:type="gramEnd"/>
      <w:r w:rsidRPr="00961BAC">
        <w:rPr>
          <w:rFonts w:ascii="Times New Roman" w:hAnsi="Times New Roman" w:cs="Times New Roman"/>
          <w:sz w:val="20"/>
          <w:szCs w:val="20"/>
        </w:rPr>
        <w:t xml:space="preserve"> в парк семейного отдыха д.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Овсище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>) – 3 650,5 тыс. руб., из них за счет средств областного бюджета – 2 243,9 тыс. руб.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11,0 % от общего объема расходов бюджета за 2024 год занимает </w:t>
      </w:r>
      <w:r w:rsidRPr="00961BAC">
        <w:rPr>
          <w:rFonts w:ascii="Times New Roman" w:hAnsi="Times New Roman" w:cs="Times New Roman"/>
          <w:b/>
          <w:sz w:val="20"/>
          <w:szCs w:val="20"/>
        </w:rPr>
        <w:t>отрасль</w:t>
      </w:r>
      <w:r w:rsidRPr="00961BAC">
        <w:rPr>
          <w:rFonts w:ascii="Times New Roman" w:hAnsi="Times New Roman" w:cs="Times New Roman"/>
          <w:sz w:val="20"/>
          <w:szCs w:val="20"/>
        </w:rPr>
        <w:t xml:space="preserve"> </w:t>
      </w:r>
      <w:r w:rsidRPr="00961BAC">
        <w:rPr>
          <w:rFonts w:ascii="Times New Roman" w:hAnsi="Times New Roman" w:cs="Times New Roman"/>
          <w:b/>
          <w:sz w:val="20"/>
          <w:szCs w:val="20"/>
        </w:rPr>
        <w:t>«Национальная экономика»</w:t>
      </w:r>
      <w:r w:rsidRPr="00961BAC">
        <w:rPr>
          <w:rFonts w:ascii="Times New Roman" w:hAnsi="Times New Roman" w:cs="Times New Roman"/>
          <w:sz w:val="20"/>
          <w:szCs w:val="20"/>
        </w:rPr>
        <w:t>. При плане 5 378,8 тыс. руб. кассовые расходы составили 5 261,4 тыс. руб. или 97,8 % к плану.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Дорожный фонд</w:t>
      </w:r>
      <w:r w:rsidRPr="00961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Старопольского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сельского поселения на 2024 год сформирован в размере 5 373,8 тыс. руб. (по состоянию на 01.01.2025 г.). За отчетный период расходы за счет средств дорожного фонда составили 5 256,4 тыс. руб., в том числе: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– содержание дорог общего пользования местного значения – 1 209,3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– ремонт дорог общего пользования местного значения – 4 047,1 тыс. руб., из них за счет средств областного бюджета  1 408,8 тыс. руб.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1BAC">
        <w:rPr>
          <w:rFonts w:ascii="Times New Roman" w:hAnsi="Times New Roman" w:cs="Times New Roman"/>
          <w:sz w:val="20"/>
          <w:szCs w:val="20"/>
        </w:rPr>
        <w:t xml:space="preserve">В первоначальном бюджете </w:t>
      </w:r>
      <w:r w:rsidRPr="00961BAC">
        <w:rPr>
          <w:rFonts w:ascii="Times New Roman" w:hAnsi="Times New Roman" w:cs="Times New Roman"/>
          <w:b/>
          <w:sz w:val="20"/>
          <w:szCs w:val="20"/>
        </w:rPr>
        <w:t>резервный фонд</w:t>
      </w:r>
      <w:r w:rsidRPr="00961BAC">
        <w:rPr>
          <w:rFonts w:ascii="Times New Roman" w:hAnsi="Times New Roman" w:cs="Times New Roman"/>
          <w:sz w:val="20"/>
          <w:szCs w:val="20"/>
        </w:rPr>
        <w:t xml:space="preserve"> для предупреждения и ликвидации ЧС был предусмотрен в размере 159,4 тыс. руб.. Уменьшение ассигнований резервного фонда для предупреждения и ликвидации ЧС произведено  при уточнении бюджета поселения, в связи с отсутствием потребности, однако для рейтинга при оценке качества управления муниципальными финансами резервные фонды на конец года должны составлять не менее 0,1 % от общей суммы расходов бюджета</w:t>
      </w:r>
      <w:proofErr w:type="gramEnd"/>
      <w:r w:rsidRPr="00961BAC">
        <w:rPr>
          <w:rFonts w:ascii="Times New Roman" w:hAnsi="Times New Roman" w:cs="Times New Roman"/>
          <w:sz w:val="20"/>
          <w:szCs w:val="20"/>
        </w:rPr>
        <w:t>, поэтому на 01.01.2025 г резервный фонд составил 51,5 тыс. руб.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По экономической классификации расходов (приложение 3) наибольшую часть расходов бюджета  занимают</w:t>
      </w:r>
      <w:r w:rsidRPr="00961B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1BAC">
        <w:rPr>
          <w:rFonts w:ascii="Times New Roman" w:hAnsi="Times New Roman" w:cs="Times New Roman"/>
          <w:sz w:val="20"/>
          <w:szCs w:val="20"/>
        </w:rPr>
        <w:t xml:space="preserve">расходы на </w:t>
      </w:r>
      <w:r w:rsidRPr="00961BAC">
        <w:rPr>
          <w:rFonts w:ascii="Times New Roman" w:hAnsi="Times New Roman" w:cs="Times New Roman"/>
          <w:b/>
          <w:sz w:val="20"/>
          <w:szCs w:val="20"/>
        </w:rPr>
        <w:t>заработную плату с начислениями</w:t>
      </w:r>
      <w:r w:rsidRPr="00961BAC">
        <w:rPr>
          <w:rFonts w:ascii="Times New Roman" w:hAnsi="Times New Roman" w:cs="Times New Roman"/>
          <w:sz w:val="20"/>
          <w:szCs w:val="20"/>
        </w:rPr>
        <w:t xml:space="preserve"> работникам бюджетной сферы, в отчетном периоде направлено 16 750,6 тыс. руб., что составило 34,9 % от общей суммы расходов бюджета за 2024 год.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Среднесписочная численность муниципальных служащих органов местного самоуправления 5 человек, фактические затраты на их денежное содержание за 2024 год составили 5 667,2 тыс. руб.; численность работников муниципальных казенных учреждений 12 человек, фактические затраты на их заработную плату составили 7 111,0 тыс. руб.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Работы, услуги по содержанию имущества</w:t>
      </w:r>
      <w:r w:rsidRPr="00961BAC">
        <w:rPr>
          <w:rFonts w:ascii="Times New Roman" w:hAnsi="Times New Roman" w:cs="Times New Roman"/>
          <w:sz w:val="20"/>
          <w:szCs w:val="20"/>
        </w:rPr>
        <w:t xml:space="preserve"> – 26,5 %, при плане 12 826,6 тыс. руб., исполнено 12 709,2 тыс. руб. или 99,1 % к плану.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Расходы на </w:t>
      </w:r>
      <w:r w:rsidRPr="00961BAC">
        <w:rPr>
          <w:rFonts w:ascii="Times New Roman" w:hAnsi="Times New Roman" w:cs="Times New Roman"/>
          <w:b/>
          <w:sz w:val="20"/>
          <w:szCs w:val="20"/>
        </w:rPr>
        <w:t>коммунальные услуги</w:t>
      </w:r>
      <w:r w:rsidRPr="00961BAC">
        <w:rPr>
          <w:rFonts w:ascii="Times New Roman" w:hAnsi="Times New Roman" w:cs="Times New Roman"/>
          <w:sz w:val="20"/>
          <w:szCs w:val="20"/>
        </w:rPr>
        <w:t xml:space="preserve"> – 17,1 %, при плане 8 208,3 тыс. руб., исполнено 8 208,3 тыс. руб. или 100,0 % к плану.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 xml:space="preserve">Увеличение стоимости основных средств </w:t>
      </w:r>
      <w:r w:rsidRPr="00961BAC">
        <w:rPr>
          <w:rFonts w:ascii="Times New Roman" w:hAnsi="Times New Roman" w:cs="Times New Roman"/>
          <w:sz w:val="20"/>
          <w:szCs w:val="20"/>
        </w:rPr>
        <w:t>– 11,2 % при плане 5 379,0 тыс. руб., исполнено 5 378,9 тыс. руб. или 100,0 % к плану.</w:t>
      </w:r>
      <w:r w:rsidRPr="00961BA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Межбюджетные трансферты</w:t>
      </w:r>
      <w:r w:rsidRPr="00961BAC">
        <w:rPr>
          <w:rFonts w:ascii="Times New Roman" w:hAnsi="Times New Roman" w:cs="Times New Roman"/>
          <w:sz w:val="20"/>
          <w:szCs w:val="20"/>
        </w:rPr>
        <w:t xml:space="preserve"> бюджету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муниципального района на исполнение переданных полномочий составили 4,0 % от общей суммы расходов бюджета за 2024 год, при плане 1 898,8 тыс. руб., исполнено 1 898,8 тыс. руб. или 100,0 %.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 xml:space="preserve">Прочие работы, услуги </w:t>
      </w:r>
      <w:r w:rsidRPr="00961BAC">
        <w:rPr>
          <w:rFonts w:ascii="Times New Roman" w:hAnsi="Times New Roman" w:cs="Times New Roman"/>
          <w:sz w:val="20"/>
          <w:szCs w:val="20"/>
        </w:rPr>
        <w:t>– 2,7 % при плане 1 274,5 тыс. руб., исполнено 1 274,4 тыс. руб. или 100,0 % к плану.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 xml:space="preserve">На 2024 год администрацией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Старопольского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сельского поселения утверждена одна муниципальная программа «Развитие территории </w:t>
      </w:r>
      <w:proofErr w:type="spellStart"/>
      <w:r w:rsidRPr="00961BAC">
        <w:rPr>
          <w:rFonts w:ascii="Times New Roman" w:hAnsi="Times New Roman" w:cs="Times New Roman"/>
          <w:sz w:val="20"/>
          <w:szCs w:val="20"/>
        </w:rPr>
        <w:t>Старопольского</w:t>
      </w:r>
      <w:proofErr w:type="spellEnd"/>
      <w:r w:rsidRPr="00961BAC">
        <w:rPr>
          <w:rFonts w:ascii="Times New Roman" w:hAnsi="Times New Roman" w:cs="Times New Roman"/>
          <w:sz w:val="20"/>
          <w:szCs w:val="20"/>
        </w:rPr>
        <w:t xml:space="preserve"> сельского поселения», расходы по программе за 2024 год составили 48 003,2 тыс. руб. или 99,6 % к плану.  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4"/>
        <w:gridCol w:w="1422"/>
        <w:gridCol w:w="1422"/>
        <w:gridCol w:w="1295"/>
        <w:gridCol w:w="1354"/>
      </w:tblGrid>
      <w:tr w:rsidR="00961BAC" w:rsidRPr="00961BAC" w:rsidTr="0095470B">
        <w:trPr>
          <w:trHeight w:val="544"/>
        </w:trPr>
        <w:tc>
          <w:tcPr>
            <w:tcW w:w="2068" w:type="pct"/>
            <w:vMerge w:val="restar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2932" w:type="pct"/>
            <w:gridSpan w:val="4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961BAC" w:rsidRPr="00961BAC" w:rsidTr="0095470B">
        <w:trPr>
          <w:trHeight w:val="717"/>
        </w:trPr>
        <w:tc>
          <w:tcPr>
            <w:tcW w:w="2068" w:type="pct"/>
            <w:vMerge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Предусмотрено,</w:t>
            </w:r>
          </w:p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759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Исполнено, тыс. руб. </w:t>
            </w:r>
          </w:p>
        </w:tc>
        <w:tc>
          <w:tcPr>
            <w:tcW w:w="691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723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Структура расходов, %</w:t>
            </w:r>
          </w:p>
        </w:tc>
      </w:tr>
      <w:tr w:rsidR="00961BAC" w:rsidRPr="00961BAC" w:rsidTr="0095470B">
        <w:trPr>
          <w:trHeight w:val="704"/>
        </w:trPr>
        <w:tc>
          <w:tcPr>
            <w:tcW w:w="2068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i/>
                <w:sz w:val="20"/>
                <w:szCs w:val="20"/>
              </w:rPr>
              <w:t>- расходы в рамках муниципальной программы</w:t>
            </w:r>
          </w:p>
        </w:tc>
        <w:tc>
          <w:tcPr>
            <w:tcW w:w="759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48 191,4</w:t>
            </w:r>
          </w:p>
        </w:tc>
        <w:tc>
          <w:tcPr>
            <w:tcW w:w="759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48 003,2</w:t>
            </w:r>
          </w:p>
        </w:tc>
        <w:tc>
          <w:tcPr>
            <w:tcW w:w="691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23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961BAC" w:rsidRPr="00961BAC" w:rsidTr="0095470B">
        <w:trPr>
          <w:trHeight w:val="336"/>
        </w:trPr>
        <w:tc>
          <w:tcPr>
            <w:tcW w:w="2068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961BAC">
              <w:rPr>
                <w:rFonts w:ascii="Times New Roman" w:hAnsi="Times New Roman" w:cs="Times New Roman"/>
                <w:i/>
                <w:sz w:val="20"/>
                <w:szCs w:val="20"/>
              </w:rPr>
              <w:t>непрограммные</w:t>
            </w:r>
            <w:proofErr w:type="spellEnd"/>
            <w:r w:rsidRPr="00961B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759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59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91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3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961BAC" w:rsidRPr="00961BAC" w:rsidTr="0095470B">
        <w:tc>
          <w:tcPr>
            <w:tcW w:w="2068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Общий итог</w:t>
            </w:r>
          </w:p>
        </w:tc>
        <w:tc>
          <w:tcPr>
            <w:tcW w:w="759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b/>
                <w:sz w:val="20"/>
                <w:szCs w:val="20"/>
              </w:rPr>
              <w:t>48 192,3</w:t>
            </w:r>
          </w:p>
        </w:tc>
        <w:tc>
          <w:tcPr>
            <w:tcW w:w="759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b/>
                <w:sz w:val="20"/>
                <w:szCs w:val="20"/>
              </w:rPr>
              <w:t>48 004,1</w:t>
            </w:r>
          </w:p>
        </w:tc>
        <w:tc>
          <w:tcPr>
            <w:tcW w:w="691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</w:p>
        </w:tc>
        <w:tc>
          <w:tcPr>
            <w:tcW w:w="723" w:type="pct"/>
            <w:vAlign w:val="center"/>
          </w:tcPr>
          <w:p w:rsidR="00961BAC" w:rsidRPr="00961BAC" w:rsidRDefault="00961BAC" w:rsidP="00961B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A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Текущая кредиторская задолженность</w:t>
      </w:r>
      <w:r w:rsidRPr="00961BAC">
        <w:rPr>
          <w:rFonts w:ascii="Times New Roman" w:hAnsi="Times New Roman" w:cs="Times New Roman"/>
          <w:sz w:val="20"/>
          <w:szCs w:val="20"/>
        </w:rPr>
        <w:t xml:space="preserve"> поселения по состоянию на 01.01.2025 г. отсутствует.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Просроченной кредиторской задолженности</w:t>
      </w:r>
      <w:r w:rsidRPr="00961BAC">
        <w:rPr>
          <w:rFonts w:ascii="Times New Roman" w:hAnsi="Times New Roman" w:cs="Times New Roman"/>
          <w:sz w:val="20"/>
          <w:szCs w:val="20"/>
        </w:rPr>
        <w:t xml:space="preserve"> по состоянию на 01.01.2025 г. нет.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Дебиторская задолженность</w:t>
      </w:r>
      <w:r w:rsidRPr="00961BAC">
        <w:rPr>
          <w:rFonts w:ascii="Times New Roman" w:hAnsi="Times New Roman" w:cs="Times New Roman"/>
          <w:sz w:val="20"/>
          <w:szCs w:val="20"/>
        </w:rPr>
        <w:t xml:space="preserve"> на конец отчетного периода составила – </w:t>
      </w:r>
      <w:r w:rsidRPr="00961BAC">
        <w:rPr>
          <w:rFonts w:ascii="Times New Roman" w:hAnsi="Times New Roman" w:cs="Times New Roman"/>
          <w:b/>
          <w:sz w:val="20"/>
          <w:szCs w:val="20"/>
          <w:u w:val="single"/>
        </w:rPr>
        <w:t>6 781,6 тыс. руб.</w:t>
      </w:r>
      <w:r w:rsidRPr="00961BAC">
        <w:rPr>
          <w:rFonts w:ascii="Times New Roman" w:hAnsi="Times New Roman" w:cs="Times New Roman"/>
          <w:sz w:val="20"/>
          <w:szCs w:val="20"/>
        </w:rPr>
        <w:t>, в том числе: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расчеты по доходам (от операционной аренды) – 268,5 тыс. руб.;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расчеты по поступлениям из других бюджетов и другим бюджетам бюджетной системы – 6 513,1 тыс. руб.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61BAC">
        <w:rPr>
          <w:rFonts w:ascii="Times New Roman" w:hAnsi="Times New Roman" w:cs="Times New Roman"/>
          <w:b/>
          <w:i/>
          <w:sz w:val="20"/>
          <w:szCs w:val="20"/>
        </w:rPr>
        <w:t>ИСТОЧНИКИ ПОКРЫТИЯ ДЕФИЦИТА БЮДЖЕТА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1BAC">
        <w:rPr>
          <w:rFonts w:ascii="Times New Roman" w:hAnsi="Times New Roman" w:cs="Times New Roman"/>
          <w:sz w:val="20"/>
          <w:szCs w:val="20"/>
        </w:rPr>
        <w:t>В связи с перевыполнением плана по доходам на 537,5 тыс. руб. и невыполнением плана по расходам на 188,2 тыс. руб., при плановом дефиците бюджета за 2024 год в сумме 2 089,2 тыс. руб., фактически по итогам отчетного периода сложился дефицит бюджета в сумме 1 363,5 тыс. руб. В связи с этим уменьшились остатки средств на счете бюджета</w:t>
      </w:r>
      <w:r w:rsidRPr="00961BA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61BAC">
        <w:rPr>
          <w:rFonts w:ascii="Times New Roman" w:hAnsi="Times New Roman" w:cs="Times New Roman"/>
          <w:sz w:val="20"/>
          <w:szCs w:val="20"/>
        </w:rPr>
        <w:t>на 1 363,5</w:t>
      </w:r>
      <w:proofErr w:type="gramEnd"/>
      <w:r w:rsidRPr="00961BAC">
        <w:rPr>
          <w:rFonts w:ascii="Times New Roman" w:hAnsi="Times New Roman" w:cs="Times New Roman"/>
          <w:sz w:val="20"/>
          <w:szCs w:val="20"/>
        </w:rPr>
        <w:t xml:space="preserve"> тыс. руб. - за счет налоговых, неналоговых доходов бюджета, дотаций.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sz w:val="20"/>
          <w:szCs w:val="20"/>
        </w:rPr>
        <w:t>Остатки средств на счетах составили: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на 01.01.2024 г.</w:t>
      </w:r>
      <w:r w:rsidRPr="00961BAC">
        <w:rPr>
          <w:rFonts w:ascii="Times New Roman" w:hAnsi="Times New Roman" w:cs="Times New Roman"/>
          <w:sz w:val="20"/>
          <w:szCs w:val="20"/>
        </w:rPr>
        <w:t xml:space="preserve"> – 2 127,8 тыс. руб. - за счет налоговых, неналоговых доходов бюджета, дотаций.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1BAC">
        <w:rPr>
          <w:rFonts w:ascii="Times New Roman" w:hAnsi="Times New Roman" w:cs="Times New Roman"/>
          <w:b/>
          <w:sz w:val="20"/>
          <w:szCs w:val="20"/>
        </w:rPr>
        <w:t>на 01.01.2025 г.</w:t>
      </w:r>
      <w:r w:rsidRPr="00961BAC">
        <w:rPr>
          <w:rFonts w:ascii="Times New Roman" w:hAnsi="Times New Roman" w:cs="Times New Roman"/>
          <w:sz w:val="20"/>
          <w:szCs w:val="20"/>
        </w:rPr>
        <w:t xml:space="preserve"> – 764,3 тыс. руб. - за счет налоговых, неналоговых доходов бюджета, дотаций.</w:t>
      </w:r>
    </w:p>
    <w:p w:rsidR="00961BAC" w:rsidRPr="00961BAC" w:rsidRDefault="00961BAC" w:rsidP="00961B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61BAC">
        <w:rPr>
          <w:rFonts w:ascii="Times New Roman" w:hAnsi="Times New Roman" w:cs="Times New Roman"/>
          <w:sz w:val="20"/>
          <w:szCs w:val="20"/>
        </w:rPr>
        <w:t>Муниципального долга на конец отчетного периода нет.</w:t>
      </w:r>
    </w:p>
    <w:p w:rsidR="00E56890" w:rsidRPr="00961BAC" w:rsidRDefault="00E56890" w:rsidP="00961BAC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3804" w:rsidRPr="00570E17" w:rsidRDefault="007C324A" w:rsidP="00321E0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Других  выступлений не было. Председатель подвел итоги публичных слушаний. </w:t>
      </w:r>
    </w:p>
    <w:p w:rsidR="003847E3" w:rsidRPr="00570E17" w:rsidRDefault="00F23666" w:rsidP="00321E05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обсуждения участники публичных слушаний</w:t>
      </w:r>
    </w:p>
    <w:p w:rsidR="00F23666" w:rsidRPr="00570E17" w:rsidRDefault="00F23666" w:rsidP="00321E05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рекомендуют:</w:t>
      </w:r>
    </w:p>
    <w:p w:rsidR="00F23666" w:rsidRPr="00570E17" w:rsidRDefault="00F23666" w:rsidP="00321E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1.Принять информацию о проект</w:t>
      </w:r>
      <w:r w:rsidR="003847E3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287" w:rsidRPr="00B00303">
        <w:rPr>
          <w:rFonts w:ascii="Times New Roman" w:hAnsi="Times New Roman" w:cs="Times New Roman"/>
          <w:sz w:val="28"/>
          <w:szCs w:val="28"/>
        </w:rPr>
        <w:t>отчета  об исполнении бюджета муниципального образования Старопольское сельское поселение Сланцевского муниципального района Ленинградской области за  202</w:t>
      </w:r>
      <w:r w:rsidR="00961BAC">
        <w:rPr>
          <w:rFonts w:ascii="Times New Roman" w:hAnsi="Times New Roman" w:cs="Times New Roman"/>
          <w:sz w:val="28"/>
          <w:szCs w:val="28"/>
        </w:rPr>
        <w:t>4</w:t>
      </w:r>
      <w:r w:rsidR="00A57287" w:rsidRPr="00B00303">
        <w:rPr>
          <w:rFonts w:ascii="Times New Roman" w:hAnsi="Times New Roman" w:cs="Times New Roman"/>
          <w:sz w:val="28"/>
          <w:szCs w:val="28"/>
        </w:rPr>
        <w:t xml:space="preserve"> год</w:t>
      </w:r>
      <w:r w:rsidR="00A5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сведению.</w:t>
      </w:r>
    </w:p>
    <w:p w:rsidR="00F23666" w:rsidRPr="00570E17" w:rsidRDefault="00F23666" w:rsidP="00321E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2.Совету депутатов:</w:t>
      </w:r>
    </w:p>
    <w:p w:rsidR="008B19D1" w:rsidRDefault="00F23666" w:rsidP="00321E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принять решени</w:t>
      </w:r>
      <w:r w:rsidR="003847E3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9D1" w:rsidRPr="00B00303">
        <w:rPr>
          <w:rFonts w:ascii="Times New Roman" w:hAnsi="Times New Roman" w:cs="Times New Roman"/>
          <w:sz w:val="28"/>
          <w:szCs w:val="28"/>
        </w:rPr>
        <w:t>отчет</w:t>
      </w:r>
      <w:r w:rsidR="00E476E3">
        <w:rPr>
          <w:rFonts w:ascii="Times New Roman" w:hAnsi="Times New Roman" w:cs="Times New Roman"/>
          <w:sz w:val="28"/>
          <w:szCs w:val="28"/>
        </w:rPr>
        <w:t>у</w:t>
      </w:r>
      <w:r w:rsidR="008B19D1" w:rsidRPr="00B00303">
        <w:rPr>
          <w:rFonts w:ascii="Times New Roman" w:hAnsi="Times New Roman" w:cs="Times New Roman"/>
          <w:sz w:val="28"/>
          <w:szCs w:val="28"/>
        </w:rPr>
        <w:t xml:space="preserve">  об исполнении бюджета муниципального образования Старопольское сельское поселение Сланцевского муниципального района Ленинградской области за  202</w:t>
      </w:r>
      <w:r w:rsidR="00961BAC">
        <w:rPr>
          <w:rFonts w:ascii="Times New Roman" w:hAnsi="Times New Roman" w:cs="Times New Roman"/>
          <w:sz w:val="28"/>
          <w:szCs w:val="28"/>
        </w:rPr>
        <w:t>4</w:t>
      </w:r>
      <w:r w:rsidR="008B19D1" w:rsidRPr="00B0030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3666" w:rsidRPr="00570E17" w:rsidRDefault="00F23666" w:rsidP="00321E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проекта решения  </w:t>
      </w:r>
      <w:r w:rsidR="00E476E3" w:rsidRPr="00B00303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Старопольское сельское поселение Сланцевского муниципального района Ленинградской области за  202</w:t>
      </w:r>
      <w:r w:rsidR="00961BAC">
        <w:rPr>
          <w:rFonts w:ascii="Times New Roman" w:hAnsi="Times New Roman" w:cs="Times New Roman"/>
          <w:sz w:val="28"/>
          <w:szCs w:val="28"/>
        </w:rPr>
        <w:t>4</w:t>
      </w:r>
      <w:r w:rsidR="00E476E3" w:rsidRPr="00B00303">
        <w:rPr>
          <w:rFonts w:ascii="Times New Roman" w:hAnsi="Times New Roman" w:cs="Times New Roman"/>
          <w:sz w:val="28"/>
          <w:szCs w:val="28"/>
        </w:rPr>
        <w:t xml:space="preserve"> год</w:t>
      </w:r>
      <w:r w:rsidR="00E47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учесть рекомендации публичных слушаний.</w:t>
      </w:r>
    </w:p>
    <w:p w:rsidR="00F23666" w:rsidRPr="00570E17" w:rsidRDefault="00F23666" w:rsidP="00321E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3.Рекомендации публичных слушаний опубликовать в </w:t>
      </w:r>
      <w:r w:rsidR="00E47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к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газете «</w:t>
      </w:r>
      <w:r w:rsidR="00E476E3">
        <w:rPr>
          <w:rFonts w:ascii="Times New Roman" w:hAnsi="Times New Roman" w:cs="Times New Roman"/>
          <w:color w:val="000000" w:themeColor="text1"/>
          <w:sz w:val="28"/>
          <w:szCs w:val="28"/>
        </w:rPr>
        <w:t>Знамя труда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r w:rsidR="00E476E3">
        <w:rPr>
          <w:rFonts w:ascii="Times New Roman" w:hAnsi="Times New Roman" w:cs="Times New Roman"/>
          <w:color w:val="000000" w:themeColor="text1"/>
          <w:sz w:val="28"/>
          <w:szCs w:val="28"/>
        </w:rPr>
        <w:t>Старопольского сельского поселения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962604" w:rsidRDefault="005D1DDA" w:rsidP="00321E0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 за- 15, против – нет, воздержались – нет.</w:t>
      </w:r>
    </w:p>
    <w:p w:rsidR="005D1DDA" w:rsidRDefault="005D1DDA" w:rsidP="00321E0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DDA" w:rsidRPr="00570E17" w:rsidRDefault="005D1DDA" w:rsidP="00321E0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604" w:rsidRDefault="00E476E3" w:rsidP="00E476E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                                                          А.С.Жук</w:t>
      </w:r>
    </w:p>
    <w:p w:rsidR="007C324A" w:rsidRDefault="007C324A" w:rsidP="006E380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F17" w:rsidRPr="00570E17" w:rsidRDefault="00962604" w:rsidP="006E380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                                                                </w:t>
      </w:r>
      <w:r w:rsidR="00E476E3">
        <w:rPr>
          <w:rFonts w:ascii="Times New Roman" w:hAnsi="Times New Roman" w:cs="Times New Roman"/>
          <w:color w:val="000000" w:themeColor="text1"/>
          <w:sz w:val="28"/>
          <w:szCs w:val="28"/>
        </w:rPr>
        <w:t>С.А.Миронова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C7B37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1F17" w:rsidRPr="00570E17" w:rsidSect="007B7E67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F0" w:rsidRDefault="006E2FF0" w:rsidP="001D07D4">
      <w:pPr>
        <w:spacing w:after="0" w:line="240" w:lineRule="auto"/>
      </w:pPr>
      <w:r>
        <w:separator/>
      </w:r>
    </w:p>
  </w:endnote>
  <w:endnote w:type="continuationSeparator" w:id="1">
    <w:p w:rsidR="006E2FF0" w:rsidRDefault="006E2FF0" w:rsidP="001D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6683"/>
      <w:docPartObj>
        <w:docPartGallery w:val="Page Numbers (Bottom of Page)"/>
        <w:docPartUnique/>
      </w:docPartObj>
    </w:sdtPr>
    <w:sdtContent>
      <w:p w:rsidR="006E2FF0" w:rsidRDefault="004401C1">
        <w:pPr>
          <w:pStyle w:val="a4"/>
          <w:jc w:val="center"/>
        </w:pPr>
        <w:fldSimple w:instr=" PAGE   \* MERGEFORMAT ">
          <w:r w:rsidR="005D1DDA">
            <w:rPr>
              <w:noProof/>
            </w:rPr>
            <w:t>4</w:t>
          </w:r>
        </w:fldSimple>
      </w:p>
    </w:sdtContent>
  </w:sdt>
  <w:p w:rsidR="006E2FF0" w:rsidRDefault="006E2F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6680"/>
      <w:docPartObj>
        <w:docPartGallery w:val="Page Numbers (Bottom of Page)"/>
        <w:docPartUnique/>
      </w:docPartObj>
    </w:sdtPr>
    <w:sdtContent>
      <w:p w:rsidR="006E2FF0" w:rsidRDefault="004401C1">
        <w:pPr>
          <w:pStyle w:val="a4"/>
          <w:jc w:val="center"/>
        </w:pPr>
        <w:fldSimple w:instr=" PAGE   \* MERGEFORMAT ">
          <w:r w:rsidR="005D1DDA">
            <w:rPr>
              <w:noProof/>
            </w:rPr>
            <w:t>1</w:t>
          </w:r>
        </w:fldSimple>
      </w:p>
    </w:sdtContent>
  </w:sdt>
  <w:p w:rsidR="006E2FF0" w:rsidRDefault="006E2F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F0" w:rsidRDefault="006E2FF0" w:rsidP="001D07D4">
      <w:pPr>
        <w:spacing w:after="0" w:line="240" w:lineRule="auto"/>
      </w:pPr>
      <w:r>
        <w:separator/>
      </w:r>
    </w:p>
  </w:footnote>
  <w:footnote w:type="continuationSeparator" w:id="1">
    <w:p w:rsidR="006E2FF0" w:rsidRDefault="006E2FF0" w:rsidP="001D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F0" w:rsidRDefault="006E2F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3EB"/>
    <w:multiLevelType w:val="hybridMultilevel"/>
    <w:tmpl w:val="93186B3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1DA86582"/>
    <w:multiLevelType w:val="hybridMultilevel"/>
    <w:tmpl w:val="DF94D500"/>
    <w:lvl w:ilvl="0" w:tplc="913EA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D30E11"/>
    <w:multiLevelType w:val="hybridMultilevel"/>
    <w:tmpl w:val="BBB001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27A019D"/>
    <w:multiLevelType w:val="hybridMultilevel"/>
    <w:tmpl w:val="310CF660"/>
    <w:lvl w:ilvl="0" w:tplc="F34C317C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572A69FC">
      <w:start w:val="1"/>
      <w:numFmt w:val="bullet"/>
      <w:lvlText w:val="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4">
    <w:nsid w:val="72B723D9"/>
    <w:multiLevelType w:val="hybridMultilevel"/>
    <w:tmpl w:val="A738882A"/>
    <w:lvl w:ilvl="0" w:tplc="913EA33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7D169B4"/>
    <w:multiLevelType w:val="hybridMultilevel"/>
    <w:tmpl w:val="C6960D2A"/>
    <w:lvl w:ilvl="0" w:tplc="913EA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201325"/>
    <w:multiLevelType w:val="hybridMultilevel"/>
    <w:tmpl w:val="525AB51C"/>
    <w:lvl w:ilvl="0" w:tplc="913E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04"/>
    <w:rsid w:val="00003EA2"/>
    <w:rsid w:val="00004392"/>
    <w:rsid w:val="00010EA4"/>
    <w:rsid w:val="000116A3"/>
    <w:rsid w:val="00011C75"/>
    <w:rsid w:val="000128CB"/>
    <w:rsid w:val="00013410"/>
    <w:rsid w:val="00014705"/>
    <w:rsid w:val="000174BE"/>
    <w:rsid w:val="00024EF0"/>
    <w:rsid w:val="00026A4B"/>
    <w:rsid w:val="00027262"/>
    <w:rsid w:val="00030777"/>
    <w:rsid w:val="00034D84"/>
    <w:rsid w:val="00035CE8"/>
    <w:rsid w:val="00036A92"/>
    <w:rsid w:val="000427FA"/>
    <w:rsid w:val="00042F60"/>
    <w:rsid w:val="00044083"/>
    <w:rsid w:val="000440D9"/>
    <w:rsid w:val="00044275"/>
    <w:rsid w:val="00045BF9"/>
    <w:rsid w:val="00045D88"/>
    <w:rsid w:val="00046FB0"/>
    <w:rsid w:val="0005072B"/>
    <w:rsid w:val="00052D72"/>
    <w:rsid w:val="00056A54"/>
    <w:rsid w:val="00063D31"/>
    <w:rsid w:val="00066215"/>
    <w:rsid w:val="0006759F"/>
    <w:rsid w:val="00067CA4"/>
    <w:rsid w:val="000727D7"/>
    <w:rsid w:val="00075F60"/>
    <w:rsid w:val="000812F9"/>
    <w:rsid w:val="00083636"/>
    <w:rsid w:val="00092733"/>
    <w:rsid w:val="00093962"/>
    <w:rsid w:val="00094D9E"/>
    <w:rsid w:val="00097663"/>
    <w:rsid w:val="000A5959"/>
    <w:rsid w:val="000B0E10"/>
    <w:rsid w:val="000B2018"/>
    <w:rsid w:val="000B2112"/>
    <w:rsid w:val="000C7D3B"/>
    <w:rsid w:val="000D1F8D"/>
    <w:rsid w:val="000D54D2"/>
    <w:rsid w:val="000D57FE"/>
    <w:rsid w:val="000D6D96"/>
    <w:rsid w:val="000D7862"/>
    <w:rsid w:val="000E40B8"/>
    <w:rsid w:val="000E43A1"/>
    <w:rsid w:val="000E608A"/>
    <w:rsid w:val="000F3732"/>
    <w:rsid w:val="000F3DF8"/>
    <w:rsid w:val="000F3E39"/>
    <w:rsid w:val="00103522"/>
    <w:rsid w:val="0010368B"/>
    <w:rsid w:val="00104E07"/>
    <w:rsid w:val="001059A1"/>
    <w:rsid w:val="001061D3"/>
    <w:rsid w:val="00106603"/>
    <w:rsid w:val="001078AE"/>
    <w:rsid w:val="001079E5"/>
    <w:rsid w:val="001149E4"/>
    <w:rsid w:val="00114D03"/>
    <w:rsid w:val="00116886"/>
    <w:rsid w:val="00121E9E"/>
    <w:rsid w:val="00122686"/>
    <w:rsid w:val="001251B4"/>
    <w:rsid w:val="00125D44"/>
    <w:rsid w:val="001260CB"/>
    <w:rsid w:val="001269D2"/>
    <w:rsid w:val="001274FF"/>
    <w:rsid w:val="001331AB"/>
    <w:rsid w:val="0013370B"/>
    <w:rsid w:val="00135E83"/>
    <w:rsid w:val="001452AF"/>
    <w:rsid w:val="00152711"/>
    <w:rsid w:val="0015294C"/>
    <w:rsid w:val="00156558"/>
    <w:rsid w:val="0016409E"/>
    <w:rsid w:val="00165FA2"/>
    <w:rsid w:val="00166F9B"/>
    <w:rsid w:val="00171819"/>
    <w:rsid w:val="00172D8B"/>
    <w:rsid w:val="001747AD"/>
    <w:rsid w:val="0017588A"/>
    <w:rsid w:val="001761C6"/>
    <w:rsid w:val="001761F6"/>
    <w:rsid w:val="00177459"/>
    <w:rsid w:val="001815EA"/>
    <w:rsid w:val="00181774"/>
    <w:rsid w:val="00181809"/>
    <w:rsid w:val="00185C27"/>
    <w:rsid w:val="00187166"/>
    <w:rsid w:val="0018790A"/>
    <w:rsid w:val="00190132"/>
    <w:rsid w:val="001920B5"/>
    <w:rsid w:val="00192635"/>
    <w:rsid w:val="00196E0D"/>
    <w:rsid w:val="001A3622"/>
    <w:rsid w:val="001B04F2"/>
    <w:rsid w:val="001B0C74"/>
    <w:rsid w:val="001B7584"/>
    <w:rsid w:val="001C2575"/>
    <w:rsid w:val="001C7084"/>
    <w:rsid w:val="001D07D4"/>
    <w:rsid w:val="001D0FC4"/>
    <w:rsid w:val="001D1404"/>
    <w:rsid w:val="001D1BD5"/>
    <w:rsid w:val="001D3460"/>
    <w:rsid w:val="001D70DC"/>
    <w:rsid w:val="001D7DE0"/>
    <w:rsid w:val="001E06F4"/>
    <w:rsid w:val="001E20DE"/>
    <w:rsid w:val="001E33A5"/>
    <w:rsid w:val="001E63F6"/>
    <w:rsid w:val="001E6763"/>
    <w:rsid w:val="001E73AB"/>
    <w:rsid w:val="001E79C5"/>
    <w:rsid w:val="001F07A9"/>
    <w:rsid w:val="001F09F5"/>
    <w:rsid w:val="001F46C7"/>
    <w:rsid w:val="001F6297"/>
    <w:rsid w:val="00200274"/>
    <w:rsid w:val="00201AC0"/>
    <w:rsid w:val="00203B5C"/>
    <w:rsid w:val="00204194"/>
    <w:rsid w:val="00207E55"/>
    <w:rsid w:val="00217C24"/>
    <w:rsid w:val="00220048"/>
    <w:rsid w:val="00220782"/>
    <w:rsid w:val="0022433B"/>
    <w:rsid w:val="00224677"/>
    <w:rsid w:val="0022731D"/>
    <w:rsid w:val="00230A04"/>
    <w:rsid w:val="00230B54"/>
    <w:rsid w:val="00234311"/>
    <w:rsid w:val="002376BC"/>
    <w:rsid w:val="00245504"/>
    <w:rsid w:val="00246A32"/>
    <w:rsid w:val="00247DF8"/>
    <w:rsid w:val="0025045F"/>
    <w:rsid w:val="00254D28"/>
    <w:rsid w:val="00255F9E"/>
    <w:rsid w:val="00261960"/>
    <w:rsid w:val="002701BF"/>
    <w:rsid w:val="002746A3"/>
    <w:rsid w:val="002757F4"/>
    <w:rsid w:val="00275953"/>
    <w:rsid w:val="00280109"/>
    <w:rsid w:val="002810E1"/>
    <w:rsid w:val="00286BAA"/>
    <w:rsid w:val="0028767E"/>
    <w:rsid w:val="00293357"/>
    <w:rsid w:val="00294242"/>
    <w:rsid w:val="002948D6"/>
    <w:rsid w:val="00295DEB"/>
    <w:rsid w:val="002A2150"/>
    <w:rsid w:val="002B026A"/>
    <w:rsid w:val="002B0E10"/>
    <w:rsid w:val="002B1589"/>
    <w:rsid w:val="002B3B25"/>
    <w:rsid w:val="002B437A"/>
    <w:rsid w:val="002C116F"/>
    <w:rsid w:val="002D1EF5"/>
    <w:rsid w:val="002D2D13"/>
    <w:rsid w:val="002D3222"/>
    <w:rsid w:val="002D328D"/>
    <w:rsid w:val="002D67B0"/>
    <w:rsid w:val="002E0934"/>
    <w:rsid w:val="002E195A"/>
    <w:rsid w:val="002E3FF9"/>
    <w:rsid w:val="002F03CE"/>
    <w:rsid w:val="002F2E40"/>
    <w:rsid w:val="002F5B9F"/>
    <w:rsid w:val="002F5C5C"/>
    <w:rsid w:val="002F5CAC"/>
    <w:rsid w:val="002F6F9E"/>
    <w:rsid w:val="002F7CC3"/>
    <w:rsid w:val="00300645"/>
    <w:rsid w:val="0030092F"/>
    <w:rsid w:val="0030327E"/>
    <w:rsid w:val="003036B6"/>
    <w:rsid w:val="00306609"/>
    <w:rsid w:val="00306787"/>
    <w:rsid w:val="00306D7F"/>
    <w:rsid w:val="003105B2"/>
    <w:rsid w:val="003117D7"/>
    <w:rsid w:val="00314243"/>
    <w:rsid w:val="00320FB1"/>
    <w:rsid w:val="00321E05"/>
    <w:rsid w:val="00327966"/>
    <w:rsid w:val="00331130"/>
    <w:rsid w:val="00331FE5"/>
    <w:rsid w:val="00332478"/>
    <w:rsid w:val="00334872"/>
    <w:rsid w:val="00336DEB"/>
    <w:rsid w:val="00337618"/>
    <w:rsid w:val="00341076"/>
    <w:rsid w:val="003441B6"/>
    <w:rsid w:val="003446BE"/>
    <w:rsid w:val="0034752B"/>
    <w:rsid w:val="003501D6"/>
    <w:rsid w:val="00352704"/>
    <w:rsid w:val="0035295F"/>
    <w:rsid w:val="0035607B"/>
    <w:rsid w:val="0036086E"/>
    <w:rsid w:val="00366E15"/>
    <w:rsid w:val="00371B62"/>
    <w:rsid w:val="0037280E"/>
    <w:rsid w:val="00372B06"/>
    <w:rsid w:val="0037684D"/>
    <w:rsid w:val="0038283E"/>
    <w:rsid w:val="003847E3"/>
    <w:rsid w:val="00386D5C"/>
    <w:rsid w:val="0039365A"/>
    <w:rsid w:val="00395424"/>
    <w:rsid w:val="00397723"/>
    <w:rsid w:val="003A3BC2"/>
    <w:rsid w:val="003A75F6"/>
    <w:rsid w:val="003B498C"/>
    <w:rsid w:val="003C1544"/>
    <w:rsid w:val="003C4251"/>
    <w:rsid w:val="003C606C"/>
    <w:rsid w:val="003C67F6"/>
    <w:rsid w:val="003C7B37"/>
    <w:rsid w:val="003D30B1"/>
    <w:rsid w:val="003D51CB"/>
    <w:rsid w:val="003D63D0"/>
    <w:rsid w:val="003D68A3"/>
    <w:rsid w:val="003E01BE"/>
    <w:rsid w:val="003E0403"/>
    <w:rsid w:val="003F1A4A"/>
    <w:rsid w:val="004025F1"/>
    <w:rsid w:val="004026D5"/>
    <w:rsid w:val="00403959"/>
    <w:rsid w:val="00403EE0"/>
    <w:rsid w:val="004048FB"/>
    <w:rsid w:val="004049CF"/>
    <w:rsid w:val="00406CB5"/>
    <w:rsid w:val="00415845"/>
    <w:rsid w:val="00415C51"/>
    <w:rsid w:val="00417E79"/>
    <w:rsid w:val="00422ECB"/>
    <w:rsid w:val="00424832"/>
    <w:rsid w:val="004259D2"/>
    <w:rsid w:val="00426F3B"/>
    <w:rsid w:val="0043453E"/>
    <w:rsid w:val="0043515C"/>
    <w:rsid w:val="004401C1"/>
    <w:rsid w:val="00447C4B"/>
    <w:rsid w:val="00447CC6"/>
    <w:rsid w:val="0045000F"/>
    <w:rsid w:val="00451173"/>
    <w:rsid w:val="0045171C"/>
    <w:rsid w:val="00454945"/>
    <w:rsid w:val="00460B3A"/>
    <w:rsid w:val="00462297"/>
    <w:rsid w:val="00467087"/>
    <w:rsid w:val="00467A47"/>
    <w:rsid w:val="004769BD"/>
    <w:rsid w:val="00485E9C"/>
    <w:rsid w:val="00491940"/>
    <w:rsid w:val="00491AA8"/>
    <w:rsid w:val="004942E0"/>
    <w:rsid w:val="00494D43"/>
    <w:rsid w:val="004A0347"/>
    <w:rsid w:val="004A2C96"/>
    <w:rsid w:val="004A393E"/>
    <w:rsid w:val="004A3ED5"/>
    <w:rsid w:val="004B2056"/>
    <w:rsid w:val="004B21CA"/>
    <w:rsid w:val="004B3E65"/>
    <w:rsid w:val="004C06EA"/>
    <w:rsid w:val="004C4BBF"/>
    <w:rsid w:val="004C524B"/>
    <w:rsid w:val="004C6D27"/>
    <w:rsid w:val="004D01BA"/>
    <w:rsid w:val="004D22B2"/>
    <w:rsid w:val="004D46DE"/>
    <w:rsid w:val="004D5EDD"/>
    <w:rsid w:val="004E07F7"/>
    <w:rsid w:val="004E16D6"/>
    <w:rsid w:val="004E59B2"/>
    <w:rsid w:val="004E6105"/>
    <w:rsid w:val="004F453D"/>
    <w:rsid w:val="0050583A"/>
    <w:rsid w:val="00506411"/>
    <w:rsid w:val="00510F50"/>
    <w:rsid w:val="0051239E"/>
    <w:rsid w:val="00520470"/>
    <w:rsid w:val="00521193"/>
    <w:rsid w:val="005216F4"/>
    <w:rsid w:val="005254BE"/>
    <w:rsid w:val="00525DCB"/>
    <w:rsid w:val="00527B20"/>
    <w:rsid w:val="00533EF1"/>
    <w:rsid w:val="00536989"/>
    <w:rsid w:val="005440C1"/>
    <w:rsid w:val="00544272"/>
    <w:rsid w:val="005472DE"/>
    <w:rsid w:val="005556DF"/>
    <w:rsid w:val="00556424"/>
    <w:rsid w:val="00562507"/>
    <w:rsid w:val="00562EA1"/>
    <w:rsid w:val="005647E8"/>
    <w:rsid w:val="0056576D"/>
    <w:rsid w:val="00565CA8"/>
    <w:rsid w:val="005660FA"/>
    <w:rsid w:val="005679A8"/>
    <w:rsid w:val="00570E17"/>
    <w:rsid w:val="00571847"/>
    <w:rsid w:val="00572B30"/>
    <w:rsid w:val="00573537"/>
    <w:rsid w:val="0057598A"/>
    <w:rsid w:val="005854AD"/>
    <w:rsid w:val="005930BB"/>
    <w:rsid w:val="005A0EE7"/>
    <w:rsid w:val="005A1B06"/>
    <w:rsid w:val="005A24AF"/>
    <w:rsid w:val="005A2750"/>
    <w:rsid w:val="005A2E36"/>
    <w:rsid w:val="005A47A9"/>
    <w:rsid w:val="005A55D8"/>
    <w:rsid w:val="005B3B73"/>
    <w:rsid w:val="005B59F0"/>
    <w:rsid w:val="005B5ED7"/>
    <w:rsid w:val="005B7F4C"/>
    <w:rsid w:val="005C000D"/>
    <w:rsid w:val="005C03E9"/>
    <w:rsid w:val="005C16EF"/>
    <w:rsid w:val="005C2B8B"/>
    <w:rsid w:val="005C3D3F"/>
    <w:rsid w:val="005C46C5"/>
    <w:rsid w:val="005C4FA7"/>
    <w:rsid w:val="005C5DFE"/>
    <w:rsid w:val="005C7501"/>
    <w:rsid w:val="005C790D"/>
    <w:rsid w:val="005D1DDA"/>
    <w:rsid w:val="005D2B57"/>
    <w:rsid w:val="005D7324"/>
    <w:rsid w:val="005E0832"/>
    <w:rsid w:val="005E6EC7"/>
    <w:rsid w:val="005F206D"/>
    <w:rsid w:val="005F3143"/>
    <w:rsid w:val="005F3391"/>
    <w:rsid w:val="005F3D7A"/>
    <w:rsid w:val="00601D91"/>
    <w:rsid w:val="0061044C"/>
    <w:rsid w:val="00614AAF"/>
    <w:rsid w:val="0061764F"/>
    <w:rsid w:val="00624B42"/>
    <w:rsid w:val="0063070D"/>
    <w:rsid w:val="00631534"/>
    <w:rsid w:val="006317CB"/>
    <w:rsid w:val="0063497E"/>
    <w:rsid w:val="00641515"/>
    <w:rsid w:val="006465F3"/>
    <w:rsid w:val="00647602"/>
    <w:rsid w:val="006539AC"/>
    <w:rsid w:val="0065708C"/>
    <w:rsid w:val="006629EC"/>
    <w:rsid w:val="00664A19"/>
    <w:rsid w:val="00672F69"/>
    <w:rsid w:val="006823B4"/>
    <w:rsid w:val="006838A7"/>
    <w:rsid w:val="00695A75"/>
    <w:rsid w:val="006974BA"/>
    <w:rsid w:val="006A00C5"/>
    <w:rsid w:val="006A297B"/>
    <w:rsid w:val="006A68CF"/>
    <w:rsid w:val="006B0B90"/>
    <w:rsid w:val="006B2C59"/>
    <w:rsid w:val="006B612E"/>
    <w:rsid w:val="006B6886"/>
    <w:rsid w:val="006C1609"/>
    <w:rsid w:val="006C1618"/>
    <w:rsid w:val="006C23F0"/>
    <w:rsid w:val="006C4577"/>
    <w:rsid w:val="006D1262"/>
    <w:rsid w:val="006D6059"/>
    <w:rsid w:val="006D7C0B"/>
    <w:rsid w:val="006E2FF0"/>
    <w:rsid w:val="006E3804"/>
    <w:rsid w:val="006E6F87"/>
    <w:rsid w:val="006E71E8"/>
    <w:rsid w:val="006E7908"/>
    <w:rsid w:val="006F05EB"/>
    <w:rsid w:val="006F1715"/>
    <w:rsid w:val="006F2DAB"/>
    <w:rsid w:val="006F68F2"/>
    <w:rsid w:val="007003F0"/>
    <w:rsid w:val="00702A4D"/>
    <w:rsid w:val="007127BA"/>
    <w:rsid w:val="00720E42"/>
    <w:rsid w:val="00724C07"/>
    <w:rsid w:val="00727553"/>
    <w:rsid w:val="00730829"/>
    <w:rsid w:val="0073202A"/>
    <w:rsid w:val="00734AB8"/>
    <w:rsid w:val="00736BA8"/>
    <w:rsid w:val="00745388"/>
    <w:rsid w:val="007476C6"/>
    <w:rsid w:val="00747DF3"/>
    <w:rsid w:val="007558F9"/>
    <w:rsid w:val="0075658F"/>
    <w:rsid w:val="0076011D"/>
    <w:rsid w:val="00762DD1"/>
    <w:rsid w:val="007679F4"/>
    <w:rsid w:val="00770D5B"/>
    <w:rsid w:val="00772C41"/>
    <w:rsid w:val="00773B90"/>
    <w:rsid w:val="0077481C"/>
    <w:rsid w:val="00776B67"/>
    <w:rsid w:val="00777761"/>
    <w:rsid w:val="0078139A"/>
    <w:rsid w:val="00787483"/>
    <w:rsid w:val="00787BAD"/>
    <w:rsid w:val="00787EC6"/>
    <w:rsid w:val="007923FF"/>
    <w:rsid w:val="00795D5A"/>
    <w:rsid w:val="007973AD"/>
    <w:rsid w:val="007A0D1F"/>
    <w:rsid w:val="007A2300"/>
    <w:rsid w:val="007A3BF6"/>
    <w:rsid w:val="007A60E0"/>
    <w:rsid w:val="007B06DC"/>
    <w:rsid w:val="007B1F17"/>
    <w:rsid w:val="007B49E0"/>
    <w:rsid w:val="007B7E67"/>
    <w:rsid w:val="007C07CD"/>
    <w:rsid w:val="007C0D7F"/>
    <w:rsid w:val="007C324A"/>
    <w:rsid w:val="007C53B4"/>
    <w:rsid w:val="007C6CDE"/>
    <w:rsid w:val="007D260D"/>
    <w:rsid w:val="007D276D"/>
    <w:rsid w:val="007E3691"/>
    <w:rsid w:val="007E3ECB"/>
    <w:rsid w:val="007E679F"/>
    <w:rsid w:val="007F3134"/>
    <w:rsid w:val="007F38FB"/>
    <w:rsid w:val="007F57FE"/>
    <w:rsid w:val="007F58E3"/>
    <w:rsid w:val="007F5978"/>
    <w:rsid w:val="007F7CAE"/>
    <w:rsid w:val="00800DEE"/>
    <w:rsid w:val="008035E8"/>
    <w:rsid w:val="008049E5"/>
    <w:rsid w:val="00816040"/>
    <w:rsid w:val="008167C4"/>
    <w:rsid w:val="0081728D"/>
    <w:rsid w:val="008215F4"/>
    <w:rsid w:val="008271CD"/>
    <w:rsid w:val="0083082D"/>
    <w:rsid w:val="00830966"/>
    <w:rsid w:val="00830B3B"/>
    <w:rsid w:val="0083301B"/>
    <w:rsid w:val="00833F3E"/>
    <w:rsid w:val="00834D93"/>
    <w:rsid w:val="00836085"/>
    <w:rsid w:val="00836ECB"/>
    <w:rsid w:val="008401ED"/>
    <w:rsid w:val="0084081E"/>
    <w:rsid w:val="0084197F"/>
    <w:rsid w:val="00844B25"/>
    <w:rsid w:val="008450E8"/>
    <w:rsid w:val="008451F4"/>
    <w:rsid w:val="00845B06"/>
    <w:rsid w:val="0084603E"/>
    <w:rsid w:val="008470B7"/>
    <w:rsid w:val="008471F8"/>
    <w:rsid w:val="008509C7"/>
    <w:rsid w:val="008543F1"/>
    <w:rsid w:val="00854E74"/>
    <w:rsid w:val="0085627C"/>
    <w:rsid w:val="00857E2B"/>
    <w:rsid w:val="00861708"/>
    <w:rsid w:val="00862A85"/>
    <w:rsid w:val="00865EFD"/>
    <w:rsid w:val="00870103"/>
    <w:rsid w:val="0087124B"/>
    <w:rsid w:val="00882C2A"/>
    <w:rsid w:val="008844CC"/>
    <w:rsid w:val="00884F1B"/>
    <w:rsid w:val="00885F8C"/>
    <w:rsid w:val="008915D8"/>
    <w:rsid w:val="00892681"/>
    <w:rsid w:val="0089287A"/>
    <w:rsid w:val="00892F1F"/>
    <w:rsid w:val="008931EF"/>
    <w:rsid w:val="00895308"/>
    <w:rsid w:val="00896CF3"/>
    <w:rsid w:val="008A5BC3"/>
    <w:rsid w:val="008A61CB"/>
    <w:rsid w:val="008B19D1"/>
    <w:rsid w:val="008B2740"/>
    <w:rsid w:val="008B385B"/>
    <w:rsid w:val="008B3A41"/>
    <w:rsid w:val="008B6674"/>
    <w:rsid w:val="008C50B8"/>
    <w:rsid w:val="008D0A2B"/>
    <w:rsid w:val="008D31C4"/>
    <w:rsid w:val="008D66A5"/>
    <w:rsid w:val="008D6A9A"/>
    <w:rsid w:val="008E0BDD"/>
    <w:rsid w:val="008E2A3F"/>
    <w:rsid w:val="008E4108"/>
    <w:rsid w:val="008E48B7"/>
    <w:rsid w:val="008E52FD"/>
    <w:rsid w:val="008E61E3"/>
    <w:rsid w:val="008F45EA"/>
    <w:rsid w:val="008F4F58"/>
    <w:rsid w:val="008F6194"/>
    <w:rsid w:val="008F7BB1"/>
    <w:rsid w:val="009011C5"/>
    <w:rsid w:val="00903108"/>
    <w:rsid w:val="009065D7"/>
    <w:rsid w:val="00906DE5"/>
    <w:rsid w:val="00910E17"/>
    <w:rsid w:val="009137C9"/>
    <w:rsid w:val="0091617B"/>
    <w:rsid w:val="009165DE"/>
    <w:rsid w:val="009252C4"/>
    <w:rsid w:val="00931536"/>
    <w:rsid w:val="00932119"/>
    <w:rsid w:val="0093564F"/>
    <w:rsid w:val="009411D2"/>
    <w:rsid w:val="0094153D"/>
    <w:rsid w:val="00943581"/>
    <w:rsid w:val="0094387D"/>
    <w:rsid w:val="00946234"/>
    <w:rsid w:val="00946CFE"/>
    <w:rsid w:val="00947FF0"/>
    <w:rsid w:val="00960150"/>
    <w:rsid w:val="00961BAC"/>
    <w:rsid w:val="00962604"/>
    <w:rsid w:val="00962C7D"/>
    <w:rsid w:val="0097097F"/>
    <w:rsid w:val="009713BC"/>
    <w:rsid w:val="00971767"/>
    <w:rsid w:val="00974797"/>
    <w:rsid w:val="00974B86"/>
    <w:rsid w:val="00974F74"/>
    <w:rsid w:val="009802C8"/>
    <w:rsid w:val="00983B2D"/>
    <w:rsid w:val="00990A37"/>
    <w:rsid w:val="00993054"/>
    <w:rsid w:val="009A12F9"/>
    <w:rsid w:val="009A2D61"/>
    <w:rsid w:val="009A50E0"/>
    <w:rsid w:val="009A6C46"/>
    <w:rsid w:val="009B05F1"/>
    <w:rsid w:val="009B1C92"/>
    <w:rsid w:val="009B28C4"/>
    <w:rsid w:val="009B487C"/>
    <w:rsid w:val="009B56D5"/>
    <w:rsid w:val="009C225D"/>
    <w:rsid w:val="009C34A6"/>
    <w:rsid w:val="009C75A5"/>
    <w:rsid w:val="009D16D5"/>
    <w:rsid w:val="009D2820"/>
    <w:rsid w:val="009D33BD"/>
    <w:rsid w:val="009D75A0"/>
    <w:rsid w:val="009E49C7"/>
    <w:rsid w:val="009E7F82"/>
    <w:rsid w:val="009F3258"/>
    <w:rsid w:val="009F4538"/>
    <w:rsid w:val="009F5DB2"/>
    <w:rsid w:val="009F7445"/>
    <w:rsid w:val="009F7583"/>
    <w:rsid w:val="00A01718"/>
    <w:rsid w:val="00A053DF"/>
    <w:rsid w:val="00A12BE4"/>
    <w:rsid w:val="00A14295"/>
    <w:rsid w:val="00A16056"/>
    <w:rsid w:val="00A1615A"/>
    <w:rsid w:val="00A2435A"/>
    <w:rsid w:val="00A37FAF"/>
    <w:rsid w:val="00A413FC"/>
    <w:rsid w:val="00A44FC9"/>
    <w:rsid w:val="00A451F1"/>
    <w:rsid w:val="00A45B99"/>
    <w:rsid w:val="00A472D8"/>
    <w:rsid w:val="00A479C5"/>
    <w:rsid w:val="00A51744"/>
    <w:rsid w:val="00A51F41"/>
    <w:rsid w:val="00A54169"/>
    <w:rsid w:val="00A54C5E"/>
    <w:rsid w:val="00A55B63"/>
    <w:rsid w:val="00A57287"/>
    <w:rsid w:val="00A6176A"/>
    <w:rsid w:val="00A62A72"/>
    <w:rsid w:val="00A6350D"/>
    <w:rsid w:val="00A66324"/>
    <w:rsid w:val="00A663FB"/>
    <w:rsid w:val="00A66F8C"/>
    <w:rsid w:val="00A73A1D"/>
    <w:rsid w:val="00A7406F"/>
    <w:rsid w:val="00A74C0B"/>
    <w:rsid w:val="00A76022"/>
    <w:rsid w:val="00A76258"/>
    <w:rsid w:val="00A76CF4"/>
    <w:rsid w:val="00A82F22"/>
    <w:rsid w:val="00A83BC9"/>
    <w:rsid w:val="00A8463C"/>
    <w:rsid w:val="00A84DDB"/>
    <w:rsid w:val="00A85A37"/>
    <w:rsid w:val="00A86122"/>
    <w:rsid w:val="00A8631F"/>
    <w:rsid w:val="00A87579"/>
    <w:rsid w:val="00A87DDC"/>
    <w:rsid w:val="00A92B03"/>
    <w:rsid w:val="00A93799"/>
    <w:rsid w:val="00A951D3"/>
    <w:rsid w:val="00A952EA"/>
    <w:rsid w:val="00A973A4"/>
    <w:rsid w:val="00AA060F"/>
    <w:rsid w:val="00AA25AF"/>
    <w:rsid w:val="00AA4E51"/>
    <w:rsid w:val="00AB1AED"/>
    <w:rsid w:val="00AB3D0F"/>
    <w:rsid w:val="00AB704B"/>
    <w:rsid w:val="00AC1FF9"/>
    <w:rsid w:val="00AC6F60"/>
    <w:rsid w:val="00AD1814"/>
    <w:rsid w:val="00AD4420"/>
    <w:rsid w:val="00AE1CC9"/>
    <w:rsid w:val="00AE3DFD"/>
    <w:rsid w:val="00AE5315"/>
    <w:rsid w:val="00AE612C"/>
    <w:rsid w:val="00AF6E12"/>
    <w:rsid w:val="00B00303"/>
    <w:rsid w:val="00B00614"/>
    <w:rsid w:val="00B0149B"/>
    <w:rsid w:val="00B026BA"/>
    <w:rsid w:val="00B13DE4"/>
    <w:rsid w:val="00B14EB2"/>
    <w:rsid w:val="00B17D6E"/>
    <w:rsid w:val="00B2057C"/>
    <w:rsid w:val="00B207F8"/>
    <w:rsid w:val="00B22E6D"/>
    <w:rsid w:val="00B241A2"/>
    <w:rsid w:val="00B250B0"/>
    <w:rsid w:val="00B25885"/>
    <w:rsid w:val="00B263EB"/>
    <w:rsid w:val="00B27435"/>
    <w:rsid w:val="00B34243"/>
    <w:rsid w:val="00B363DF"/>
    <w:rsid w:val="00B46950"/>
    <w:rsid w:val="00B46A91"/>
    <w:rsid w:val="00B51925"/>
    <w:rsid w:val="00B520ED"/>
    <w:rsid w:val="00B53E79"/>
    <w:rsid w:val="00B577A5"/>
    <w:rsid w:val="00B57F4C"/>
    <w:rsid w:val="00B648B9"/>
    <w:rsid w:val="00B65C9C"/>
    <w:rsid w:val="00B703BC"/>
    <w:rsid w:val="00B71028"/>
    <w:rsid w:val="00B719A1"/>
    <w:rsid w:val="00B731CE"/>
    <w:rsid w:val="00B74F9A"/>
    <w:rsid w:val="00B76EE7"/>
    <w:rsid w:val="00B834DA"/>
    <w:rsid w:val="00B846A0"/>
    <w:rsid w:val="00B8495B"/>
    <w:rsid w:val="00B84C33"/>
    <w:rsid w:val="00B86167"/>
    <w:rsid w:val="00B90EEE"/>
    <w:rsid w:val="00B93BE3"/>
    <w:rsid w:val="00B952BE"/>
    <w:rsid w:val="00B96868"/>
    <w:rsid w:val="00B97649"/>
    <w:rsid w:val="00B97DAC"/>
    <w:rsid w:val="00BA1526"/>
    <w:rsid w:val="00BA61A3"/>
    <w:rsid w:val="00BA743F"/>
    <w:rsid w:val="00BB03CB"/>
    <w:rsid w:val="00BB0643"/>
    <w:rsid w:val="00BB2119"/>
    <w:rsid w:val="00BB26B7"/>
    <w:rsid w:val="00BB2B02"/>
    <w:rsid w:val="00BB5D16"/>
    <w:rsid w:val="00BB6B41"/>
    <w:rsid w:val="00BB73A8"/>
    <w:rsid w:val="00BC1528"/>
    <w:rsid w:val="00BC41C7"/>
    <w:rsid w:val="00BC6BF4"/>
    <w:rsid w:val="00BD06DB"/>
    <w:rsid w:val="00BD1AC1"/>
    <w:rsid w:val="00BD3F2F"/>
    <w:rsid w:val="00BD5362"/>
    <w:rsid w:val="00BD762F"/>
    <w:rsid w:val="00BE00C5"/>
    <w:rsid w:val="00BE046D"/>
    <w:rsid w:val="00BE2772"/>
    <w:rsid w:val="00BE616F"/>
    <w:rsid w:val="00BE6817"/>
    <w:rsid w:val="00BF0D2A"/>
    <w:rsid w:val="00BF11C2"/>
    <w:rsid w:val="00BF3DF2"/>
    <w:rsid w:val="00BF7743"/>
    <w:rsid w:val="00C00555"/>
    <w:rsid w:val="00C0288A"/>
    <w:rsid w:val="00C03D36"/>
    <w:rsid w:val="00C16907"/>
    <w:rsid w:val="00C21F3E"/>
    <w:rsid w:val="00C22BA3"/>
    <w:rsid w:val="00C231F0"/>
    <w:rsid w:val="00C23D75"/>
    <w:rsid w:val="00C311C5"/>
    <w:rsid w:val="00C315F3"/>
    <w:rsid w:val="00C348B5"/>
    <w:rsid w:val="00C36E52"/>
    <w:rsid w:val="00C37F5C"/>
    <w:rsid w:val="00C40122"/>
    <w:rsid w:val="00C41B51"/>
    <w:rsid w:val="00C4324A"/>
    <w:rsid w:val="00C43DDA"/>
    <w:rsid w:val="00C453DD"/>
    <w:rsid w:val="00C53F6C"/>
    <w:rsid w:val="00C54E5F"/>
    <w:rsid w:val="00C556F9"/>
    <w:rsid w:val="00C623AD"/>
    <w:rsid w:val="00C625DB"/>
    <w:rsid w:val="00C63223"/>
    <w:rsid w:val="00C641B4"/>
    <w:rsid w:val="00C6544F"/>
    <w:rsid w:val="00C66377"/>
    <w:rsid w:val="00C704B2"/>
    <w:rsid w:val="00C706CC"/>
    <w:rsid w:val="00C7610A"/>
    <w:rsid w:val="00C82FA1"/>
    <w:rsid w:val="00C834E8"/>
    <w:rsid w:val="00C8388C"/>
    <w:rsid w:val="00C843EB"/>
    <w:rsid w:val="00C930D9"/>
    <w:rsid w:val="00C96AE6"/>
    <w:rsid w:val="00CA08E7"/>
    <w:rsid w:val="00CA73B8"/>
    <w:rsid w:val="00CC037C"/>
    <w:rsid w:val="00CC1A6E"/>
    <w:rsid w:val="00CC350E"/>
    <w:rsid w:val="00CC49FB"/>
    <w:rsid w:val="00CD0FF8"/>
    <w:rsid w:val="00CD191D"/>
    <w:rsid w:val="00CD7071"/>
    <w:rsid w:val="00CE24A8"/>
    <w:rsid w:val="00CE6367"/>
    <w:rsid w:val="00CF13BB"/>
    <w:rsid w:val="00CF18F3"/>
    <w:rsid w:val="00CF38C7"/>
    <w:rsid w:val="00CF3E90"/>
    <w:rsid w:val="00CF63DB"/>
    <w:rsid w:val="00D04777"/>
    <w:rsid w:val="00D04ED5"/>
    <w:rsid w:val="00D055AB"/>
    <w:rsid w:val="00D0585D"/>
    <w:rsid w:val="00D059BF"/>
    <w:rsid w:val="00D05FDA"/>
    <w:rsid w:val="00D12928"/>
    <w:rsid w:val="00D145CB"/>
    <w:rsid w:val="00D14FE5"/>
    <w:rsid w:val="00D153E9"/>
    <w:rsid w:val="00D21D79"/>
    <w:rsid w:val="00D230A8"/>
    <w:rsid w:val="00D271BB"/>
    <w:rsid w:val="00D273CD"/>
    <w:rsid w:val="00D277EE"/>
    <w:rsid w:val="00D30480"/>
    <w:rsid w:val="00D3215B"/>
    <w:rsid w:val="00D4435E"/>
    <w:rsid w:val="00D46169"/>
    <w:rsid w:val="00D4686D"/>
    <w:rsid w:val="00D50812"/>
    <w:rsid w:val="00D5194C"/>
    <w:rsid w:val="00D53742"/>
    <w:rsid w:val="00D55B61"/>
    <w:rsid w:val="00D56EFE"/>
    <w:rsid w:val="00D60BCE"/>
    <w:rsid w:val="00D63028"/>
    <w:rsid w:val="00D652CC"/>
    <w:rsid w:val="00D6587C"/>
    <w:rsid w:val="00D80A2C"/>
    <w:rsid w:val="00D85880"/>
    <w:rsid w:val="00D87158"/>
    <w:rsid w:val="00D878C8"/>
    <w:rsid w:val="00D90CCD"/>
    <w:rsid w:val="00D930BF"/>
    <w:rsid w:val="00D94D95"/>
    <w:rsid w:val="00D959FA"/>
    <w:rsid w:val="00D96DA0"/>
    <w:rsid w:val="00DA0585"/>
    <w:rsid w:val="00DB0378"/>
    <w:rsid w:val="00DB1E38"/>
    <w:rsid w:val="00DB3811"/>
    <w:rsid w:val="00DB6C96"/>
    <w:rsid w:val="00DC0069"/>
    <w:rsid w:val="00DC0CA1"/>
    <w:rsid w:val="00DC1987"/>
    <w:rsid w:val="00DC7865"/>
    <w:rsid w:val="00DD0CD6"/>
    <w:rsid w:val="00DD11C7"/>
    <w:rsid w:val="00DD2472"/>
    <w:rsid w:val="00DD276F"/>
    <w:rsid w:val="00DD5F61"/>
    <w:rsid w:val="00DD7DFD"/>
    <w:rsid w:val="00DE0CEB"/>
    <w:rsid w:val="00DE0E13"/>
    <w:rsid w:val="00DE3E80"/>
    <w:rsid w:val="00DE6EA2"/>
    <w:rsid w:val="00DF3799"/>
    <w:rsid w:val="00DF69BB"/>
    <w:rsid w:val="00E012B5"/>
    <w:rsid w:val="00E02AF4"/>
    <w:rsid w:val="00E03822"/>
    <w:rsid w:val="00E1004D"/>
    <w:rsid w:val="00E1046A"/>
    <w:rsid w:val="00E10A20"/>
    <w:rsid w:val="00E1439E"/>
    <w:rsid w:val="00E167A0"/>
    <w:rsid w:val="00E20978"/>
    <w:rsid w:val="00E22BD6"/>
    <w:rsid w:val="00E2509B"/>
    <w:rsid w:val="00E27004"/>
    <w:rsid w:val="00E30839"/>
    <w:rsid w:val="00E33B3A"/>
    <w:rsid w:val="00E3620B"/>
    <w:rsid w:val="00E40197"/>
    <w:rsid w:val="00E4019B"/>
    <w:rsid w:val="00E44029"/>
    <w:rsid w:val="00E447E8"/>
    <w:rsid w:val="00E474A7"/>
    <w:rsid w:val="00E476E3"/>
    <w:rsid w:val="00E51050"/>
    <w:rsid w:val="00E56890"/>
    <w:rsid w:val="00E6230C"/>
    <w:rsid w:val="00E62B53"/>
    <w:rsid w:val="00E71BD9"/>
    <w:rsid w:val="00E723C9"/>
    <w:rsid w:val="00E72422"/>
    <w:rsid w:val="00E72AC7"/>
    <w:rsid w:val="00E731CC"/>
    <w:rsid w:val="00E7762F"/>
    <w:rsid w:val="00E84565"/>
    <w:rsid w:val="00E8635B"/>
    <w:rsid w:val="00E94CF4"/>
    <w:rsid w:val="00E9757E"/>
    <w:rsid w:val="00EA03FB"/>
    <w:rsid w:val="00EA0F5F"/>
    <w:rsid w:val="00EA4ECB"/>
    <w:rsid w:val="00EB1925"/>
    <w:rsid w:val="00EB52E1"/>
    <w:rsid w:val="00EB6EE8"/>
    <w:rsid w:val="00EB704F"/>
    <w:rsid w:val="00EB7ADE"/>
    <w:rsid w:val="00EC1F61"/>
    <w:rsid w:val="00EC26BF"/>
    <w:rsid w:val="00EC73D3"/>
    <w:rsid w:val="00ED3561"/>
    <w:rsid w:val="00ED527C"/>
    <w:rsid w:val="00ED6456"/>
    <w:rsid w:val="00EE5AE3"/>
    <w:rsid w:val="00EE654F"/>
    <w:rsid w:val="00EE7E46"/>
    <w:rsid w:val="00EF77D4"/>
    <w:rsid w:val="00F0076B"/>
    <w:rsid w:val="00F0216C"/>
    <w:rsid w:val="00F074BF"/>
    <w:rsid w:val="00F1359F"/>
    <w:rsid w:val="00F16F30"/>
    <w:rsid w:val="00F21DC2"/>
    <w:rsid w:val="00F23666"/>
    <w:rsid w:val="00F25F7E"/>
    <w:rsid w:val="00F32822"/>
    <w:rsid w:val="00F334F6"/>
    <w:rsid w:val="00F36585"/>
    <w:rsid w:val="00F37C22"/>
    <w:rsid w:val="00F40DDF"/>
    <w:rsid w:val="00F43D62"/>
    <w:rsid w:val="00F502BD"/>
    <w:rsid w:val="00F502DC"/>
    <w:rsid w:val="00F54008"/>
    <w:rsid w:val="00F558B8"/>
    <w:rsid w:val="00F558C6"/>
    <w:rsid w:val="00F55A10"/>
    <w:rsid w:val="00F55F09"/>
    <w:rsid w:val="00F615CE"/>
    <w:rsid w:val="00F6745F"/>
    <w:rsid w:val="00F7028D"/>
    <w:rsid w:val="00F718EA"/>
    <w:rsid w:val="00F73F79"/>
    <w:rsid w:val="00F8370C"/>
    <w:rsid w:val="00F84A62"/>
    <w:rsid w:val="00F855F7"/>
    <w:rsid w:val="00F912B2"/>
    <w:rsid w:val="00F92029"/>
    <w:rsid w:val="00F9278A"/>
    <w:rsid w:val="00FA0089"/>
    <w:rsid w:val="00FA0ACA"/>
    <w:rsid w:val="00FA14E2"/>
    <w:rsid w:val="00FA4C47"/>
    <w:rsid w:val="00FA5AA8"/>
    <w:rsid w:val="00FB1628"/>
    <w:rsid w:val="00FB2A06"/>
    <w:rsid w:val="00FB2E12"/>
    <w:rsid w:val="00FB33AA"/>
    <w:rsid w:val="00FB6412"/>
    <w:rsid w:val="00FB6716"/>
    <w:rsid w:val="00FB72CE"/>
    <w:rsid w:val="00FC120C"/>
    <w:rsid w:val="00FC21F1"/>
    <w:rsid w:val="00FC35F1"/>
    <w:rsid w:val="00FC5EA1"/>
    <w:rsid w:val="00FC66D6"/>
    <w:rsid w:val="00FC7145"/>
    <w:rsid w:val="00FD36AE"/>
    <w:rsid w:val="00FD68A0"/>
    <w:rsid w:val="00FD6F7B"/>
    <w:rsid w:val="00FE0065"/>
    <w:rsid w:val="00FE0E3A"/>
    <w:rsid w:val="00FE16B8"/>
    <w:rsid w:val="00FE2C7A"/>
    <w:rsid w:val="00FE6239"/>
    <w:rsid w:val="00FF4E78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3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60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9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6260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62604"/>
    <w:pPr>
      <w:ind w:left="720"/>
      <w:contextualSpacing/>
    </w:pPr>
  </w:style>
  <w:style w:type="paragraph" w:customStyle="1" w:styleId="ConsPlusTitle">
    <w:name w:val="ConsPlusTitle"/>
    <w:rsid w:val="0096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F0D2A"/>
    <w:pPr>
      <w:spacing w:after="12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BF0D2A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uiPriority w:val="99"/>
    <w:rsid w:val="00BF0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без отступа"/>
    <w:basedOn w:val="a"/>
    <w:link w:val="aa"/>
    <w:uiPriority w:val="99"/>
    <w:rsid w:val="00BF0D2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9"/>
    <w:uiPriority w:val="99"/>
    <w:rsid w:val="00BF0D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F0D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3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0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660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53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A87579"/>
    <w:pPr>
      <w:suppressAutoHyphens/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0F0E-DA78-4362-B9DC-141B4FC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2025-07-07T09:29:00Z</cp:lastPrinted>
  <dcterms:created xsi:type="dcterms:W3CDTF">2019-11-19T05:09:00Z</dcterms:created>
  <dcterms:modified xsi:type="dcterms:W3CDTF">2025-07-07T09:29:00Z</dcterms:modified>
</cp:coreProperties>
</file>